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Ind w:w="-318" w:type="dxa"/>
        <w:tblLayout w:type="fixed"/>
        <w:tblLook w:val="04A0"/>
      </w:tblPr>
      <w:tblGrid>
        <w:gridCol w:w="660"/>
        <w:gridCol w:w="4598"/>
        <w:gridCol w:w="1624"/>
        <w:gridCol w:w="1069"/>
        <w:gridCol w:w="993"/>
        <w:gridCol w:w="932"/>
        <w:gridCol w:w="932"/>
        <w:gridCol w:w="932"/>
        <w:gridCol w:w="889"/>
        <w:gridCol w:w="2965"/>
      </w:tblGrid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Утверждена</w:t>
            </w:r>
            <w:proofErr w:type="gram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постановлением</w:t>
            </w: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Правительства</w:t>
            </w: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Российской Федерации</w:t>
            </w: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от 17 декабря 2012 г. № 1317</w:t>
            </w: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Доклад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главы Администрации 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Горшеченского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р-на Курской области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 достигнутых значениях показателей для оценки эффективности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деятельности органов местного  самоуправления городских округов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и муниципальных районов за  2014  год и их планируемых 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значениях</w:t>
            </w:r>
            <w:proofErr w:type="gramEnd"/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 3-ий период</w:t>
            </w: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I. Показатели 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эффективности деятельности органов местного</w:t>
            </w: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 w:type="page"/>
              <w:t>самоуправления Администрации</w:t>
            </w:r>
            <w:proofErr w:type="gram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Горшеченского</w:t>
            </w:r>
            <w:proofErr w:type="spell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р-на Курской области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5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Отчетная информация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Примечание</w:t>
            </w:r>
          </w:p>
        </w:tc>
      </w:tr>
      <w:tr w:rsidR="00BB0EEC" w:rsidRPr="00BB0EEC" w:rsidTr="00BB0EEC">
        <w:trPr>
          <w:trHeight w:val="255"/>
        </w:trPr>
        <w:tc>
          <w:tcPr>
            <w:tcW w:w="5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I. Экономическое развитие</w:t>
            </w:r>
          </w:p>
        </w:tc>
      </w:tr>
      <w:tr w:rsidR="00BB0EEC" w:rsidRPr="00BB0EEC" w:rsidTr="00BB0EEC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Число субъектов малого и среднего предпринимательства в расчете на 10 тыс. человек  населения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единиц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203,2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204,4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205,2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На территории района зарегистрировано 349 субъектов малого и среднего предпринимательства, из них сельское хозяйство-70, розничная торговля и общественное питание -236,транспорт и связь-35, здравоохранение-1,прочие-7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Среднесписочная численность работников малых и средних предприятий составляет 1378 человек.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Объем инвестиций в основной капитал (за исключением бюджетных средств) в расчете  на 1 жителя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223757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187905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77718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32221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53468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86345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Уменьшение инвестиций в основной капитал связано с завершением  строительства объектов первой очереди крупного птицеводческого комплекса ЗАО "Курский 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Агрохолдинг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</w:tr>
      <w:tr w:rsidR="00BB0EEC" w:rsidRPr="00BB0EEC" w:rsidTr="00BB0EEC">
        <w:trPr>
          <w:trHeight w:val="20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Доля площади земельных участков, являющихся объектами налогообложения земельным налогом, в общей площади территории района увеличивается за счет ввода в оборот земельных участков государственная 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собственность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на которые не 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разграничина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BB0EEC" w:rsidRPr="00BB0EEC" w:rsidTr="00BB0EEC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Доля прибыльных сельскохозяйственных 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организаций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в общем их числе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На территории района действуют  9 сельскохозяйственных предприятий, из них 2 предприятия убыточные -ЗАО "Курский 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Агрохолдинг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" и СПК им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.Ф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рунзе </w:t>
            </w:r>
          </w:p>
        </w:tc>
      </w:tr>
      <w:tr w:rsidR="00BB0EEC" w:rsidRPr="00BB0EEC" w:rsidTr="00BB0EEC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Снижение показателя обусловлено проведением текущих ремонтов автомобильных дорог общего пользования</w:t>
            </w:r>
          </w:p>
        </w:tc>
      </w:tr>
      <w:tr w:rsidR="00BB0EEC" w:rsidRPr="00BB0EEC" w:rsidTr="00BB0EEC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Показатель уменьшился в связи с открытием в 2014 году дополнительных  маршрутов в с. Отрада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,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с. Ровное </w:t>
            </w:r>
          </w:p>
        </w:tc>
      </w:tr>
      <w:tr w:rsidR="00BB0EEC" w:rsidRPr="00BB0EEC" w:rsidTr="00BB0EEC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8.1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    крупных и средних предприятий и </w:t>
            </w: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    некоммерческих организаций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15489,6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18668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22360,6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23446,8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24865,4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25946,3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за счет того, что на территории района осуществляют свою деятельность сельскохозяйственные предприятия и птицеводческий комплекс ЗАО "Курский 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Агрохолдинг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" </w:t>
            </w:r>
          </w:p>
        </w:tc>
      </w:tr>
      <w:tr w:rsidR="00BB0EEC" w:rsidRPr="00BB0EEC" w:rsidTr="00BB0EEC">
        <w:trPr>
          <w:trHeight w:val="22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8.2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    муниципальных дошкольных образовательных</w:t>
            </w: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br w:type="page"/>
              <w:t xml:space="preserve">     учреждений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8481,6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11307,6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13241,5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17968,8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19650,8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21310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В соответствии с реализацией мероприятий Указа Президента РФ № 597 от 07.05.2012 г. "О мероприятиях по реализации государственной социальной политики" среднемесячная номинальная начисленная заработная плата  работников муниципальных дошкольных </w:t>
            </w: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 xml:space="preserve">образовательных учреждений увеличивается. </w:t>
            </w:r>
          </w:p>
        </w:tc>
      </w:tr>
      <w:tr w:rsidR="00BB0EEC" w:rsidRPr="00BB0EEC" w:rsidTr="00BB0EEC">
        <w:trPr>
          <w:trHeight w:val="22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8.3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    муниципальных общеобразовательных </w:t>
            </w: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    учреждений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15467,8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15951,3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18254,9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18968,5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19945,6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21920,4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В соответствии с реализацией мероприятий Указа Президента РФ № 597 от 07.05.2012 г. "О мероприятиях по реализации государственной социальной политики" среднемесячная номинальная начисленная заработная плата  работников муниципальных образовательных учреждений увеличивается. </w:t>
            </w:r>
          </w:p>
        </w:tc>
      </w:tr>
      <w:tr w:rsidR="00BB0EEC" w:rsidRPr="00BB0EEC" w:rsidTr="00BB0EEC">
        <w:trPr>
          <w:trHeight w:val="20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8.4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    учителей муниципальных   </w:t>
            </w: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    общеобразовательных учреждений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21047,3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24185,9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26536,8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28221,5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28945,5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В соответствии с реализацией мероприятий Указа Президента РФ № 597 от 07.05.2012 г. "О мероприятиях по реализации государственной социальной политики" среднемесячная номинальная начисленная заработная плата  учителей муниципальных общеобразовательных учреждений увеличивается. </w:t>
            </w:r>
          </w:p>
        </w:tc>
      </w:tr>
      <w:tr w:rsidR="00BB0EEC" w:rsidRPr="00BB0EEC" w:rsidTr="00BB0EEC">
        <w:trPr>
          <w:trHeight w:val="20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8.5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    муниципальных учреждений культуры и </w:t>
            </w: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    искусства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7641,9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14189,3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16718,8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18240,8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22099,7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27493,2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В соответствии с реализацией мероприятий Указа Президента РФ № 597 от 07.05.2012 г. "О мероприятиях по реализации государственной социальной политики" среднемесячная номинальная начисленная заработная плата  </w:t>
            </w: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 xml:space="preserve">работников муниципальных учреждений  культуры и спорта увеличивается. </w:t>
            </w:r>
          </w:p>
        </w:tc>
      </w:tr>
      <w:tr w:rsidR="00BB0EEC" w:rsidRPr="00BB0EEC" w:rsidTr="00BB0EEC">
        <w:trPr>
          <w:trHeight w:val="22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8.6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    муниципальных учреждений физической </w:t>
            </w: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    культуры и спорта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16186,7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12016,7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14506,7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22556,3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26345,2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26985,4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В соответствии с реализацией мероприятий Указа Президента РФ №597 от 07.05.2012 г. "О мероприятиях по реализации государственной социальной политики) среднемесячная номинальная начисленная заработная плата работников  муниципальных   учреждений  культуры и спорта увеличивается </w:t>
            </w:r>
            <w:proofErr w:type="gramEnd"/>
          </w:p>
        </w:tc>
      </w:tr>
      <w:tr w:rsidR="00BB0EEC" w:rsidRPr="00BB0EEC" w:rsidTr="00BB0EEC">
        <w:trPr>
          <w:trHeight w:val="27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II. Дошкольное образование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В 2014 году показатель увеличился за счет открытия дошкольных групп при МКОУ "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Мелавская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СОШ", МКОУ "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Болотская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СОШ", МКОУ "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Ясеновская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СОШ", МКОУ "Барановская СОШ"</w:t>
            </w:r>
          </w:p>
        </w:tc>
      </w:tr>
      <w:tr w:rsidR="00BB0EEC" w:rsidRPr="00BB0EEC" w:rsidTr="00BB0EEC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Детей в возрасте 1-6 лет, стоящих на учете для определения в муниципальные дошкольные образовательные учреждения   нет </w:t>
            </w:r>
          </w:p>
        </w:tc>
      </w:tr>
      <w:tr w:rsidR="00BB0EEC" w:rsidRPr="00BB0EEC" w:rsidTr="00BB0EEC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На территории района нет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III. Общее и дополнительное образование</w:t>
            </w:r>
          </w:p>
        </w:tc>
      </w:tr>
      <w:tr w:rsidR="00BB0EEC" w:rsidRPr="00BB0EEC" w:rsidTr="00BB0EEC">
        <w:trPr>
          <w:trHeight w:val="20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Показатель увеличился в связи с тем, что в 2014 году 2 выпускника не сдали экзамен по русскому языку и математике </w:t>
            </w:r>
          </w:p>
        </w:tc>
      </w:tr>
      <w:tr w:rsidR="00BB0EEC" w:rsidRPr="00BB0EEC" w:rsidTr="00BB0EEC">
        <w:trPr>
          <w:trHeight w:val="1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 численности выпускников муниципальных общеобразовательных учреждений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В 2014 году 2 выпускника не получили аттестат о полном образовании. 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</w:t>
            </w: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Показатель увеличился за счет проведения модернизации школ и приобретения нового, современного оборудования 80 % школ соответствуют современным требованиям обучения  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Показатель увеличился в связи с тем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,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что  в 2014 году Роговская СОШ признана аварийной и 3 школы требовали капитального ремонта </w:t>
            </w:r>
          </w:p>
        </w:tc>
      </w:tr>
      <w:tr w:rsidR="00BB0EEC" w:rsidRPr="00BB0EEC" w:rsidTr="00BB0EEC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Доля детей первой и второй групп здоровья в общей 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Показатель увеличился за счет улучшения питания и введения дополнительных часов уроков физической культуры в образовательных учреждениях и организации летнего отдыха в загородных летних лагерях</w:t>
            </w:r>
          </w:p>
        </w:tc>
      </w:tr>
      <w:tr w:rsidR="00BB0EEC" w:rsidRPr="00BB0EEC" w:rsidTr="00BB0EEC">
        <w:trPr>
          <w:trHeight w:val="15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обучающихся в муниципальных   общеобразовательных учреждениях    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Обучающихся в муниципальных общеобразовательных учреждениях, занимающихся во вторую смену нет. </w:t>
            </w:r>
            <w:proofErr w:type="gramEnd"/>
          </w:p>
        </w:tc>
      </w:tr>
      <w:tr w:rsidR="00BB0EEC" w:rsidRPr="00BB0EEC" w:rsidTr="00BB0EEC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126,6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стоимости ТЭР и уменьшение численности 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обучающихся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способствует увеличению показателя 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 в общей численности детей данной возрастной группы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Открытие дополнительных услуг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,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кружков обусловило динамику показателя. 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IV.  Культура</w:t>
            </w:r>
          </w:p>
        </w:tc>
      </w:tr>
      <w:tr w:rsidR="00BB0EEC" w:rsidRPr="00BB0EEC" w:rsidTr="00BB0EEC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</w:tr>
      <w:tr w:rsidR="00BB0EEC" w:rsidRPr="00BB0EEC" w:rsidTr="00BB0EEC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клубами и учреждениями клубного типа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Население района полностью обеспечено клубами </w:t>
            </w:r>
          </w:p>
        </w:tc>
      </w:tr>
      <w:tr w:rsidR="00BB0EEC" w:rsidRPr="00BB0EEC" w:rsidTr="00BB0EEC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библиотеками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Население района полностью обеспечено библиотеками </w:t>
            </w:r>
          </w:p>
        </w:tc>
      </w:tr>
      <w:tr w:rsidR="00BB0EEC" w:rsidRPr="00BB0EEC" w:rsidTr="00BB0EEC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парками культуры и отдыха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На балансе муниципального образования парков культуры и отдыха нет </w:t>
            </w:r>
          </w:p>
        </w:tc>
      </w:tr>
      <w:tr w:rsidR="00BB0EEC" w:rsidRPr="00BB0EEC" w:rsidTr="00BB0EEC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Показатель уменьшился в  связи с проведением капитальных ремонтов муниципальных учреждениях  культуры </w:t>
            </w:r>
          </w:p>
        </w:tc>
      </w:tr>
      <w:tr w:rsidR="00BB0EEC" w:rsidRPr="00BB0EEC" w:rsidTr="00BB0EEC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 </w:t>
            </w:r>
            <w:proofErr w:type="spellStart"/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</w:t>
            </w:r>
            <w:proofErr w:type="gram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обственности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Объектов культурного наследия, находящихся в муниципальной собственности нет 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V. Физическая культура и спорт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 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25,1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31,8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37,1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39,7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численности систематически занимающихся физической культурой и спортом за счёт пропаганды здорового образа жизни и оптимизации работы имеющихся спортивных сооружений. 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VI. Жилищное строительство и обеспечение граждан жильем</w:t>
            </w:r>
          </w:p>
        </w:tc>
      </w:tr>
      <w:tr w:rsidR="00BB0EEC" w:rsidRPr="00BB0EEC" w:rsidTr="00BB0EEC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- всего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показателя общей площади жилых помещений, 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приходящаяся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в среднем на одного жителя обусловлено  введением дополнительной площади жилых помещений  и демографической обстановкой, складывающейся на территории района. </w:t>
            </w:r>
          </w:p>
        </w:tc>
      </w:tr>
      <w:tr w:rsidR="00BB0EEC" w:rsidRPr="00BB0EEC" w:rsidTr="00BB0EEC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в том числе 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введенная</w:t>
            </w:r>
            <w:proofErr w:type="gram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в действие за один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Показатель увеличился за счет увеличения вводимых площадей </w:t>
            </w:r>
          </w:p>
        </w:tc>
      </w:tr>
      <w:tr w:rsidR="00BB0EEC" w:rsidRPr="00BB0EEC" w:rsidTr="00BB0EEC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Площадь земельных участков, предоставленных для строительства в расчете на 10 тыс. человек населения</w:t>
            </w: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 - всего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гектаров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Показатель увеличился за счет того, что в 2014 году были выделены земельные участки под строительство объектов птицеводческого комплекса 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в том числе земельных участков, </w:t>
            </w: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предоставленных для жилищного </w:t>
            </w: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строительства,  индивидуального </w:t>
            </w: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строительства и комплексного освоения в </w:t>
            </w: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целях жилищного  строительства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гектаров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Увеличению показателя способствовало то, что в 2014 году были выделены земельные участки для  строительства  многоквартирных жилых домов для детей-сирот и ИЖС многодетным семьям </w:t>
            </w:r>
          </w:p>
        </w:tc>
      </w:tr>
      <w:tr w:rsidR="00BB0EEC" w:rsidRPr="00BB0EEC" w:rsidTr="00BB0EEC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 даты принятия</w:t>
            </w:r>
            <w:proofErr w:type="gram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 ввод в эксплуатацию: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объектов жилищного строительства -</w:t>
            </w: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 w:type="page"/>
              <w:t xml:space="preserve">     в течение 3 лет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На территории района земельных участков, предоставленных для объектов жилищного строительства в отношении которых в течени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и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3 лет не было получено разрешения на ввод нет. 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иных объектов капитального строительства - </w:t>
            </w: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в течение 5 лет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На территории района земельных участков, предоставленных для объектов капитального строительства в отношении которых в течени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и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5 лет не было получено разрешения на ввод нет. 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VII. Жилищно-коммунальное хозяйство</w:t>
            </w:r>
          </w:p>
        </w:tc>
      </w:tr>
      <w:tr w:rsidR="00BB0EEC" w:rsidRPr="00BB0EEC" w:rsidTr="00BB0EEC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 многоквартирных домов, в которых собственники   помещений должны выбрать способ управления данными домами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На территории района данный показатель 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составяляет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100 %, т. е. во всех многоквартирных домах собственники выбрали и реализуют один из способов управления многоквартирными 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домами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в общем их числе. </w:t>
            </w:r>
          </w:p>
        </w:tc>
      </w:tr>
      <w:tr w:rsidR="00BB0EEC" w:rsidRPr="00BB0EEC" w:rsidTr="00BB0EEC">
        <w:trPr>
          <w:trHeight w:val="4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водо</w:t>
            </w:r>
            <w:proofErr w:type="spell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-, тепл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о-</w:t>
            </w:r>
            <w:proofErr w:type="gram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газо</w:t>
            </w:r>
            <w:proofErr w:type="spell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В настоящее время на территории района функционирует 6 организаций, осуществляющих оказание услуг по 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вод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о-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,тепло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-, 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газо-,электроснабжению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, вывозу мусора. 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показателя обусловлено проведением мероприятий Администрацией района по оформлению земельных участков под  многоквартирными жилыми домами </w:t>
            </w:r>
          </w:p>
        </w:tc>
      </w:tr>
      <w:tr w:rsidR="00BB0EEC" w:rsidRPr="00BB0EEC" w:rsidTr="00BB0EEC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показателя обусловлено улучшением жилищных условий участников ВОВ  и  в рамках областной программы "Молодая семья". 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VIII.  Организация муниципального управления</w:t>
            </w:r>
          </w:p>
        </w:tc>
      </w:tr>
      <w:tr w:rsidR="00BB0EEC" w:rsidRPr="00BB0EEC" w:rsidTr="00BB0EEC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Уменьшение показателя за счет уменьшения поступления дотации на выравнивание бюджетной обеспеченности</w:t>
            </w:r>
          </w:p>
        </w:tc>
      </w:tr>
      <w:tr w:rsidR="00BB0EEC" w:rsidRPr="00BB0EEC" w:rsidTr="00BB0EEC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Организаций в стадии банкротства нет </w:t>
            </w:r>
          </w:p>
        </w:tc>
      </w:tr>
      <w:tr w:rsidR="00BB0EEC" w:rsidRPr="00BB0EEC" w:rsidTr="00BB0EEC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  района)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На территории района не ведется строительство за счет средств бюджета района </w:t>
            </w:r>
          </w:p>
        </w:tc>
      </w:tr>
      <w:tr w:rsidR="00BB0EEC" w:rsidRPr="00BB0EEC" w:rsidTr="00BB0EEC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Просроченной задолженности по оплате труда по организациям и предприятиям района нет </w:t>
            </w:r>
          </w:p>
        </w:tc>
      </w:tr>
      <w:tr w:rsidR="00BB0EEC" w:rsidRPr="00BB0EEC" w:rsidTr="00BB0EEC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показателя за счет   увеличения заработной платы и снижения  численности населения района. </w:t>
            </w:r>
          </w:p>
        </w:tc>
      </w:tr>
      <w:tr w:rsidR="00BB0EEC" w:rsidRPr="00BB0EEC" w:rsidTr="00BB0EEC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В 2010 году утверждена схема территориального планирования района. </w:t>
            </w:r>
          </w:p>
        </w:tc>
      </w:tr>
      <w:tr w:rsidR="00BB0EEC" w:rsidRPr="00BB0EEC" w:rsidTr="00BB0EEC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Недостаточное информирование населения влияет на снижение данного показателя </w:t>
            </w:r>
          </w:p>
        </w:tc>
      </w:tr>
      <w:tr w:rsidR="00BB0EEC" w:rsidRPr="00BB0EEC" w:rsidTr="00BB0EEC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Уменьшение показателя обусловлено  естественной и миграционной убылью численности населения </w:t>
            </w:r>
          </w:p>
        </w:tc>
      </w:tr>
      <w:tr w:rsidR="00BB0EEC" w:rsidRPr="00BB0EEC" w:rsidTr="00BB0EEC">
        <w:trPr>
          <w:trHeight w:val="255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IX.  Энергосбережение и повышение энергетической эффективности</w:t>
            </w:r>
          </w:p>
        </w:tc>
      </w:tr>
      <w:tr w:rsidR="00BB0EEC" w:rsidRPr="00BB0EEC" w:rsidTr="00BB0EEC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</w:tr>
      <w:tr w:rsidR="00BB0EEC" w:rsidRPr="00BB0EEC" w:rsidTr="00BB0EEC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электрическая энергия  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кВт/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ч</w:t>
            </w:r>
            <w:proofErr w:type="gram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на 1 проживающего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Замена ламп накаливания большей мощности 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на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энергосберегающие способствует снижению </w:t>
            </w: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 xml:space="preserve">показателя. </w:t>
            </w:r>
          </w:p>
        </w:tc>
      </w:tr>
      <w:tr w:rsidR="00BB0EEC" w:rsidRPr="00BB0EEC" w:rsidTr="00BB0EEC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39.2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тепловая энергия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Гкал на 1 кв. метр  общей площади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В связи с переводом  котельных и индивидуальных квартир с твёрдого топлива на 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газовое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показатель уменьшается </w:t>
            </w:r>
          </w:p>
        </w:tc>
      </w:tr>
      <w:tr w:rsidR="00BB0EEC" w:rsidRPr="00BB0EEC" w:rsidTr="00BB0EEC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горячая вода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куб. метров на 1 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проживающего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Услуга не предоставляется </w:t>
            </w:r>
          </w:p>
        </w:tc>
      </w:tr>
      <w:tr w:rsidR="00BB0EEC" w:rsidRPr="00BB0EEC" w:rsidTr="00BB0EEC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холодная вода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куб. метров на 1 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проживающего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Показатель уменьшается в связи с проведением работ по </w:t>
            </w:r>
            <w:proofErr w:type="spell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уста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y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овке</w:t>
            </w:r>
            <w:proofErr w:type="spell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 индивидуальных приборов учёта </w:t>
            </w:r>
          </w:p>
        </w:tc>
      </w:tr>
      <w:tr w:rsidR="00BB0EEC" w:rsidRPr="00BB0EEC" w:rsidTr="00BB0EEC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природный газ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куб. метров на 1 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проживающего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В связи с газификацией многоквартирных домов и установкой нового более эффективного оборудования. </w:t>
            </w:r>
          </w:p>
        </w:tc>
      </w:tr>
      <w:tr w:rsidR="00BB0EEC" w:rsidRPr="00BB0EEC" w:rsidTr="00BB0EEC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</w:tr>
      <w:tr w:rsidR="00BB0EEC" w:rsidRPr="00BB0EEC" w:rsidTr="00BB0EEC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электрическая энергия  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кВт/</w:t>
            </w:r>
            <w:proofErr w:type="gramStart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ч</w:t>
            </w:r>
            <w:proofErr w:type="gramEnd"/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на 1 человека населения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Уменьшение показателя за счет замены ламп накаливания большей мощности 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на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энергосберегающие. </w:t>
            </w:r>
          </w:p>
        </w:tc>
      </w:tr>
      <w:tr w:rsidR="00BB0EEC" w:rsidRPr="00BB0EEC" w:rsidTr="00BB0EEC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тепловая энергия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Гкал на 1 кв. метр  общей площади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В связи с  переводом бюджетных учреждений  с твёрдого топлива на 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газовое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показатель уменьшается. </w:t>
            </w:r>
          </w:p>
        </w:tc>
      </w:tr>
      <w:tr w:rsidR="00BB0EEC" w:rsidRPr="00BB0EEC" w:rsidTr="00BB0EEC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горячая вода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куб. метров на 1 человека населения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Услуга не предоставляется </w:t>
            </w:r>
          </w:p>
        </w:tc>
      </w:tr>
      <w:tr w:rsidR="00BB0EEC" w:rsidRPr="00BB0EEC" w:rsidTr="00BB0EEC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холодная вода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куб. метров на 1 человека населения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Уменьшение показателя за счет установки  приборов учёта. </w:t>
            </w:r>
          </w:p>
        </w:tc>
      </w:tr>
      <w:tr w:rsidR="00BB0EEC" w:rsidRPr="00BB0EEC" w:rsidTr="00BB0EEC">
        <w:trPr>
          <w:trHeight w:val="15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40.5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природный газ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куб. метров на 1 человека населения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>Увеличение  за счет  газификации бюджетных учреждений, установки нового энергосберегающего и замены старого газового оборудования</w:t>
            </w:r>
            <w:proofErr w:type="gramStart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,</w:t>
            </w:r>
            <w:proofErr w:type="gramEnd"/>
            <w:r w:rsidRPr="00BB0EEC">
              <w:rPr>
                <w:rFonts w:ascii="Tahoma" w:eastAsia="Times New Roman" w:hAnsi="Tahoma" w:cs="Tahoma"/>
                <w:sz w:val="20"/>
                <w:szCs w:val="20"/>
              </w:rPr>
              <w:t xml:space="preserve"> а также за счёт сокращения численности населения района. </w:t>
            </w: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B0EEC" w:rsidRPr="00BB0EEC" w:rsidTr="00BB0EE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EC" w:rsidRPr="00BB0EEC" w:rsidRDefault="00BB0EEC" w:rsidP="00BB0E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000000" w:rsidRDefault="00B6604F"/>
    <w:sectPr w:rsidR="00000000" w:rsidSect="00BB0E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EEC"/>
    <w:rsid w:val="00BB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E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0EEC"/>
    <w:rPr>
      <w:color w:val="800080"/>
      <w:u w:val="single"/>
    </w:rPr>
  </w:style>
  <w:style w:type="paragraph" w:customStyle="1" w:styleId="xl3824">
    <w:name w:val="xl3824"/>
    <w:basedOn w:val="a"/>
    <w:rsid w:val="00BB0EE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3825">
    <w:name w:val="xl3825"/>
    <w:basedOn w:val="a"/>
    <w:rsid w:val="00BB0E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26">
    <w:name w:val="xl3826"/>
    <w:basedOn w:val="a"/>
    <w:rsid w:val="00BB0EE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3827">
    <w:name w:val="xl3827"/>
    <w:basedOn w:val="a"/>
    <w:rsid w:val="00BB0EEC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3828">
    <w:name w:val="xl3828"/>
    <w:basedOn w:val="a"/>
    <w:rsid w:val="00BB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9">
    <w:name w:val="xl3829"/>
    <w:basedOn w:val="a"/>
    <w:rsid w:val="00BB0E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0">
    <w:name w:val="xl3830"/>
    <w:basedOn w:val="a"/>
    <w:rsid w:val="00BB0E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1">
    <w:name w:val="xl3831"/>
    <w:basedOn w:val="a"/>
    <w:rsid w:val="00BB0E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2">
    <w:name w:val="xl3832"/>
    <w:basedOn w:val="a"/>
    <w:rsid w:val="00BB0E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33">
    <w:name w:val="xl3833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34">
    <w:name w:val="xl3834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35">
    <w:name w:val="xl3835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3836">
    <w:name w:val="xl3836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37">
    <w:name w:val="xl3837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38">
    <w:name w:val="xl3838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39">
    <w:name w:val="xl3839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0">
    <w:name w:val="xl3840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1">
    <w:name w:val="xl3841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2">
    <w:name w:val="xl3842"/>
    <w:basedOn w:val="a"/>
    <w:rsid w:val="00BB0E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43">
    <w:name w:val="xl3843"/>
    <w:basedOn w:val="a"/>
    <w:rsid w:val="00BB0E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44">
    <w:name w:val="xl3844"/>
    <w:basedOn w:val="a"/>
    <w:rsid w:val="00BB0EE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45">
    <w:name w:val="xl3845"/>
    <w:basedOn w:val="a"/>
    <w:rsid w:val="00BB0E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46">
    <w:name w:val="xl3846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7">
    <w:name w:val="xl3847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8">
    <w:name w:val="xl3848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9">
    <w:name w:val="xl3849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0">
    <w:name w:val="xl3850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1">
    <w:name w:val="xl3851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2">
    <w:name w:val="xl3852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3">
    <w:name w:val="xl3853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4">
    <w:name w:val="xl3854"/>
    <w:basedOn w:val="a"/>
    <w:rsid w:val="00BB0E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5">
    <w:name w:val="xl3855"/>
    <w:basedOn w:val="a"/>
    <w:rsid w:val="00BB0E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6">
    <w:name w:val="xl3856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7">
    <w:name w:val="xl3857"/>
    <w:basedOn w:val="a"/>
    <w:rsid w:val="00BB0E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8">
    <w:name w:val="xl3858"/>
    <w:basedOn w:val="a"/>
    <w:rsid w:val="00BB0E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9">
    <w:name w:val="xl3859"/>
    <w:basedOn w:val="a"/>
    <w:rsid w:val="00BB0E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0">
    <w:name w:val="xl3860"/>
    <w:basedOn w:val="a"/>
    <w:rsid w:val="00BB0EEC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3861">
    <w:name w:val="xl3861"/>
    <w:basedOn w:val="a"/>
    <w:rsid w:val="00BB0EE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2">
    <w:name w:val="xl3862"/>
    <w:basedOn w:val="a"/>
    <w:rsid w:val="00BB0EE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3">
    <w:name w:val="xl3863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4">
    <w:name w:val="xl3864"/>
    <w:basedOn w:val="a"/>
    <w:rsid w:val="00BB0E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5">
    <w:name w:val="xl3865"/>
    <w:basedOn w:val="a"/>
    <w:rsid w:val="00BB0E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6">
    <w:name w:val="xl3866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7">
    <w:name w:val="xl3867"/>
    <w:basedOn w:val="a"/>
    <w:rsid w:val="00BB0E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8">
    <w:name w:val="xl3868"/>
    <w:basedOn w:val="a"/>
    <w:rsid w:val="00BB0EE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9">
    <w:name w:val="xl3869"/>
    <w:basedOn w:val="a"/>
    <w:rsid w:val="00BB0EE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70">
    <w:name w:val="xl3870"/>
    <w:basedOn w:val="a"/>
    <w:rsid w:val="00BB0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71">
    <w:name w:val="xl3871"/>
    <w:basedOn w:val="a"/>
    <w:rsid w:val="00BB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72">
    <w:name w:val="xl3872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2901</Words>
  <Characters>16541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2015-04-24T03:40:00Z</dcterms:created>
  <dcterms:modified xsi:type="dcterms:W3CDTF">2015-04-24T03:40:00Z</dcterms:modified>
</cp:coreProperties>
</file>