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депутаты Представительного Собрания, дорогие земляки!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Сегодня мы с вами обсудим и вспомним те дела, которыми  занимались в течение ушедшего 2023 года. Постараемся вместе наметить основные планы на будущее.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Доходная часть бюджета муниципального района в 2023 году составила  856млн. руб., что на 31млн. руб. меньше доходной части бюджета муниципального района 2022 года</w:t>
      </w:r>
      <w:r>
        <w:rPr>
          <w:rStyle w:val="Style15"/>
          <w:rFonts w:eastAsia="" w:eastAsiaTheme="minorEastAsia"/>
          <w:sz w:val="28"/>
          <w:szCs w:val="28"/>
        </w:rPr>
        <w:t>.  Объем налоговых и неналоговых доходов бюджета муниципального района в 2023 году составил 235 млн. рублей (</w:t>
      </w:r>
      <w:r>
        <w:rPr>
          <w:rFonts w:cs="Times New Roman" w:ascii="Times New Roman" w:hAnsi="Times New Roman"/>
          <w:sz w:val="28"/>
          <w:szCs w:val="28"/>
        </w:rPr>
        <w:t>2022 – 265 млн. рублей).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 налоговым доходом является налог на доходы физических лиц.Объем поступления налога на доходы физических лицв бюджет муниципального района в 2023 году составил 167 млн. руб., что на 24 млн. руб. больше чем в 2022 году.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 финансовой помощи из областного бюджета в 2023 году по сравнению с 2022 годом увеличился на 3млн. руб.и составил 621 млн. рублей.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Расходная часть бюджета муниципального района за 2023 год составила 871млн. руб., что на 54млн. руб. меньше объема 2022 года. Расходы на социально- культурную сферу составили  698 млн. руб. или на 1 млн. руб. больше,чем в 2022 году. Значительная часть средств израсходована на отрасль «Образование» - 562 млн. руб. или 65 % бюджета муниципального района.  Расходы на дорожное хозяйство и ЖКХ составили 35 млн. руб. (2022 – 51 млн. руб.). Бюджетные средства в 2023 году были сконцентрированы на обеспечении первоочередных расходов: оплате труда работников бюджетной сферы, топливно-энергетических ресурсов, питания, налогов, решении социальных проблем населения, повышении качества муниципальных услуг.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Выполнение практически всех полномочий определенных Федеральным Законом на территориях сельских поселений решались органами местного самоуправления муниципального района. </w:t>
      </w:r>
    </w:p>
    <w:p>
      <w:pPr>
        <w:pStyle w:val="Normal"/>
        <w:tabs>
          <w:tab w:val="clear" w:pos="708"/>
          <w:tab w:val="left" w:pos="603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Средняя заработная плата по категориям работников определенных Указом Президента Российской Федерации от 07.05.2012 года  № 597 в 2023 году составила 42052руб. </w:t>
      </w:r>
    </w:p>
    <w:p>
      <w:pPr>
        <w:pStyle w:val="Normal"/>
        <w:tabs>
          <w:tab w:val="clear" w:pos="708"/>
          <w:tab w:val="left" w:pos="6030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долга по состоянию на 01.01.2024 года не имеется. </w:t>
      </w:r>
    </w:p>
    <w:p>
      <w:pPr>
        <w:pStyle w:val="Normal"/>
        <w:tabs>
          <w:tab w:val="clear" w:pos="708"/>
          <w:tab w:val="left" w:pos="603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Доля расходов бюджета муниципального района за 2023 год, сформированных по программному принципу составляет 95%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Основой экономики Горшеченского района традиционно является </w:t>
      </w:r>
      <w:r>
        <w:rPr>
          <w:rFonts w:cs="Times New Roman" w:ascii="Times New Roman" w:hAnsi="Times New Roman"/>
          <w:b/>
          <w:sz w:val="28"/>
          <w:szCs w:val="28"/>
        </w:rPr>
        <w:t>сельское хозяйство и перерабатывающая промышленность</w:t>
      </w:r>
      <w:r>
        <w:rPr>
          <w:rFonts w:cs="Times New Roman" w:ascii="Times New Roman" w:hAnsi="Times New Roman"/>
          <w:sz w:val="28"/>
          <w:szCs w:val="28"/>
        </w:rPr>
        <w:t>. В сельском хозяйстве в районе удачно сочетаются работа крупных инвестиционных компаний, а также не- больших сельскохозяйственных предприятий и фермерских хозяйств. В районе нет необработанной земли: площадь пашни   88413 га, посевная площадь  45767 га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Площадь зерновых и зернобобовых культур составила в 2023 году 45767 га, валовой сбор  составляет 267,73 тыс.тонн, урожайность зерновых   60,5 цн/га.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площадь масличных составила  26,19 тыс. га,  убрано масличных на площади 24,72 га,  намолочено 68,73 тыс. тонн, урожайность 27,8 цн/га.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сахарная свекла убрана на площади 1213 га, валовой сбор составил 74 тыс. тонн, урожайность – 610 цн/га.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СПК «» Горшеченские сады» валовой сбор яблок составил 1150 тонн.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урожай 2024 года посеяно 17000 га озимых культур.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 2023 год получено субсидий в сумме </w:t>
      </w:r>
      <w:r>
        <w:rPr>
          <w:rFonts w:cs="Times New Roman" w:ascii="Times New Roman" w:hAnsi="Times New Roman"/>
          <w:b/>
          <w:sz w:val="28"/>
          <w:szCs w:val="28"/>
        </w:rPr>
        <w:t>36995,317</w:t>
      </w:r>
      <w:r>
        <w:rPr>
          <w:rFonts w:cs="Times New Roman" w:ascii="Times New Roman" w:hAnsi="Times New Roman"/>
          <w:sz w:val="28"/>
          <w:szCs w:val="28"/>
        </w:rPr>
        <w:t xml:space="preserve"> тыс. руб: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стимулирование производства молока</w:t>
        <w:tab/>
        <w:tab/>
        <w:t>- 9375,030  тыс. руб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возмещение части затрат на производство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КРС на убой в живом весе</w:t>
        <w:tab/>
        <w:tab/>
        <w:tab/>
        <w:tab/>
        <w:t>- 1018,846 тыс. руб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возмещение  производителям зерновых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культур части затрат на производство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реализацию зерновых культур </w:t>
        <w:tab/>
        <w:tab/>
        <w:tab/>
        <w:t>- 21362,176 тыс. руб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агротехнологические работы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области растениеводства</w:t>
        <w:tab/>
        <w:tab/>
        <w:tab/>
        <w:tab/>
        <w:t>- 3381,781 тыс. руб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элитное семеноводство</w:t>
        <w:tab/>
        <w:tab/>
        <w:tab/>
        <w:tab/>
        <w:tab/>
        <w:t>- 1172,340 тыс. руб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стимулирование приоритетных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подотраслей растениеводства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(многолетние насаждения)                               - 260,190 тыс. руб.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Средняя заработная плата в сельхозпредприятиях Горшеченского района за  2023 год составила 59784 рублей.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Животноводство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поголовье скота в хозяйствах  всех формах  собственности: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КРС  -  8858 гол.   (в т.ч. коров -  2722 гол.)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Свиней – 451 гол.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Овец -  5987 гол.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в с/х. предприятиях: КРС  -  5868,   в т.ч. коров -  1600 гол.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Овец -  431 гол.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- в  КФХ: КРС  -  710 гол.,  в т.ч. коров -  312 гол.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>Овец -  311 гол.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ЛПХ:     КРС  -  2280 гол.   в т.ч. коров -  810гол.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 xml:space="preserve">Овец -  5245 гол.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>Свиней –451 гол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 2023 году сельхозпредприятиями  района   произведено молока  -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13 895 тонн, что больше уровня прошлого года на  1718 тонн.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фермерскими хозяйствами – более 1000 тонн.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Продуктивность дойного стада: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с/х. предприятиях -  8685 кг. молока на 1 фуражную корову ( + 1074 кг)          в фермерских  хозяйствах  – 3840 кг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Реализовано мяса  – 109,7тыс. тонн, из которых около  200 тонн приходится на долю  фермерских  хозяйств.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Получено приплода:  телят  -2421 гол.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ягнят – 570 гол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Работает 8 пунктов искусственного осеменения КРС (осеменено 86% коров и тёлок).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Заготовлено кормов собственного производства -22 855 т. корм ед. ( на 1 ус. гол. – 33 ц.к.ед.).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Основной задачей работы Администрации, мы считаем, создание благоприятных условий для жизни и работы каждого гражданина. А такие условия складываются из хороших бытовых условий, доступного образования, спортивных объектов, нормального культурного обслуживания.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89"/>
      </w:tblGrid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Строительство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Реестр  объектов, построенных и реконструированных в 2023 году.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(Горшеченский район)</w:t>
            </w:r>
          </w:p>
          <w:tbl>
            <w:tblPr>
              <w:tblStyle w:val="a8"/>
              <w:tblW w:w="966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306"/>
              <w:gridCol w:w="2657"/>
              <w:gridCol w:w="1499"/>
              <w:gridCol w:w="1736"/>
              <w:gridCol w:w="1465"/>
            </w:tblGrid>
            <w:tr>
              <w:trPr/>
              <w:tc>
                <w:tcPr>
                  <w:tcW w:w="230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Наименование с/х. организации</w:t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Наименование объекта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Количество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      </w:t>
                  </w: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(шт.)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Мощность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Стоимость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(млн.руб.)</w:t>
                  </w:r>
                </w:p>
              </w:tc>
            </w:tr>
            <w:tr>
              <w:trPr/>
              <w:tc>
                <w:tcPr>
                  <w:tcW w:w="230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СПС СПК «Горшеченский ЭкоПродукт»</w:t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склады напольного хранения зерна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8 т. тонн</w:t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20,0</w:t>
                  </w:r>
                </w:p>
              </w:tc>
            </w:tr>
            <w:tr>
              <w:trPr/>
              <w:tc>
                <w:tcPr>
                  <w:tcW w:w="2306" w:type="dxa"/>
                  <w:vMerge w:val="restart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ООО «Восход»</w:t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</w:tr>
            <w:tr>
              <w:trPr/>
              <w:tc>
                <w:tcPr>
                  <w:tcW w:w="230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Асфальт. Покрытие вокруг мастерской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15,8</w:t>
                  </w:r>
                </w:p>
              </w:tc>
            </w:tr>
            <w:tr>
              <w:trPr/>
              <w:tc>
                <w:tcPr>
                  <w:tcW w:w="230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Молочный комплекс 2023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6,5</w:t>
                  </w:r>
                </w:p>
              </w:tc>
            </w:tr>
            <w:tr>
              <w:trPr/>
              <w:tc>
                <w:tcPr>
                  <w:tcW w:w="230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Молочный комплекс №4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736" w:type="dxa"/>
                  <w:vMerge w:val="restart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Строительство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не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завершено</w:t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45,0</w:t>
                  </w:r>
                </w:p>
              </w:tc>
            </w:tr>
            <w:tr>
              <w:trPr/>
              <w:tc>
                <w:tcPr>
                  <w:tcW w:w="230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Молочный комплекс №5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73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13,0</w:t>
                  </w:r>
                </w:p>
              </w:tc>
            </w:tr>
            <w:tr>
              <w:trPr/>
              <w:tc>
                <w:tcPr>
                  <w:tcW w:w="230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Молочный комплекс №6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73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13,0</w:t>
                  </w:r>
                </w:p>
              </w:tc>
            </w:tr>
            <w:tr>
              <w:trPr/>
              <w:tc>
                <w:tcPr>
                  <w:tcW w:w="230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Молочный комплекс №7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73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13,0</w:t>
                  </w:r>
                </w:p>
              </w:tc>
            </w:tr>
            <w:tr>
              <w:trPr/>
              <w:tc>
                <w:tcPr>
                  <w:tcW w:w="230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Молочный комплекс №8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73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13,0</w:t>
                  </w:r>
                </w:p>
              </w:tc>
            </w:tr>
            <w:tr>
              <w:trPr/>
              <w:tc>
                <w:tcPr>
                  <w:tcW w:w="230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Молочный комплекс №9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73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13,0</w:t>
                  </w:r>
                </w:p>
              </w:tc>
            </w:tr>
            <w:tr>
              <w:trPr/>
              <w:tc>
                <w:tcPr>
                  <w:tcW w:w="230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Сенохранилище 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4,5</w:t>
                  </w:r>
                </w:p>
              </w:tc>
            </w:tr>
            <w:tr>
              <w:trPr/>
              <w:tc>
                <w:tcPr>
                  <w:tcW w:w="230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Сенохранилище 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3,04</w:t>
                  </w:r>
                </w:p>
              </w:tc>
            </w:tr>
            <w:tr>
              <w:trPr/>
              <w:tc>
                <w:tcPr>
                  <w:tcW w:w="230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Силосная яма (реконструкция)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1,978</w:t>
                  </w:r>
                </w:p>
              </w:tc>
            </w:tr>
            <w:tr>
              <w:trPr/>
              <w:tc>
                <w:tcPr>
                  <w:tcW w:w="2306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141,818</w:t>
                  </w:r>
                </w:p>
              </w:tc>
            </w:tr>
            <w:tr>
              <w:trPr/>
              <w:tc>
                <w:tcPr>
                  <w:tcW w:w="2306" w:type="dxa"/>
                  <w:vMerge w:val="restart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ООО «Рассвет»</w:t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Асфальтное покрытие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25,166</w:t>
                  </w:r>
                </w:p>
              </w:tc>
            </w:tr>
            <w:tr>
              <w:trPr/>
              <w:tc>
                <w:tcPr>
                  <w:tcW w:w="230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Реконструк. мастерской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           </w:t>
                  </w: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20,0</w:t>
                  </w:r>
                </w:p>
              </w:tc>
            </w:tr>
            <w:tr>
              <w:trPr/>
              <w:tc>
                <w:tcPr>
                  <w:tcW w:w="230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Ремонт животн. Помещ.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13,167</w:t>
                  </w:r>
                </w:p>
              </w:tc>
            </w:tr>
            <w:tr>
              <w:trPr/>
              <w:tc>
                <w:tcPr>
                  <w:tcW w:w="230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ИП КФХ Копейкин</w:t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Зерносклад (напольный)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0,6 т.тонн</w:t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3,0</w:t>
                  </w:r>
                </w:p>
              </w:tc>
            </w:tr>
            <w:tr>
              <w:trPr/>
              <w:tc>
                <w:tcPr>
                  <w:tcW w:w="230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ИП КФХ Кононов ИМ</w:t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Зерносклад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1,5 т.тонн</w:t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        </w:t>
                  </w: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4,0</w:t>
                  </w:r>
                </w:p>
              </w:tc>
            </w:tr>
            <w:tr>
              <w:trPr/>
              <w:tc>
                <w:tcPr>
                  <w:tcW w:w="2306" w:type="dxa"/>
                  <w:vMerge w:val="restart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ИП КФХ Пешково</w:t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Зерносклад (арочный)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0,3 т.тонн</w:t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1,0</w:t>
                  </w:r>
                </w:p>
              </w:tc>
            </w:tr>
            <w:tr>
              <w:trPr/>
              <w:tc>
                <w:tcPr>
                  <w:tcW w:w="2306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Асфальт. покрытие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2,0</w:t>
                  </w:r>
                </w:p>
              </w:tc>
            </w:tr>
            <w:tr>
              <w:trPr/>
              <w:tc>
                <w:tcPr>
                  <w:tcW w:w="230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ИП КФХ «Кентавр»</w:t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Асфальт. Покрытие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(кр. Ток)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4,0</w:t>
                  </w:r>
                </w:p>
              </w:tc>
            </w:tr>
            <w:tr>
              <w:trPr/>
              <w:tc>
                <w:tcPr>
                  <w:tcW w:w="230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КФХ Прокофьво</w:t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Асфальт. Покрытие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(кр. Ток)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3,0</w:t>
                  </w:r>
                </w:p>
              </w:tc>
            </w:tr>
            <w:tr>
              <w:trPr/>
              <w:tc>
                <w:tcPr>
                  <w:tcW w:w="230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Ремонт з.склада</w:t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  <w:t>0,6</w:t>
                  </w:r>
                </w:p>
              </w:tc>
            </w:tr>
            <w:tr>
              <w:trPr/>
              <w:tc>
                <w:tcPr>
                  <w:tcW w:w="230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ИТОГО</w:t>
                  </w:r>
                </w:p>
              </w:tc>
              <w:tc>
                <w:tcPr>
                  <w:tcW w:w="265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eastAsia="Calibri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9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73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</w:r>
                </w:p>
              </w:tc>
              <w:tc>
                <w:tcPr>
                  <w:tcW w:w="146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kern w:val="0"/>
                      <w:sz w:val="24"/>
                      <w:szCs w:val="24"/>
                      <w:lang w:val="ru-RU" w:eastAsia="en-US" w:bidi="ar-SA"/>
                    </w:rPr>
                    <w:t>217,751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ab/>
              <w:tab/>
              <w:tab/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    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Администрация Горшеченского района в рамках программы « Охрана окружающей среды в Горшеченском район Курской области» и подпрограммы « Экология чистая вода в Горшеченском районе» за счет денежных средств областного и местного бюджета проведена реконструкция водозаборного сооружения в с.Бараново на ул.Придорожная (пробурена водозаборная башня,установлены две водонапорные башни,проложен частично сеь водопровода). Это дало возможность улучшить водоснабжение значительного количества жителей с.Бараново Горшеченского района.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Сумма работ 8,4 млн. рублей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За счет средств местного бюджета заменена водонапорная башня в д. Белгородка Среднеапоченского с/с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за счет муниципальных средст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более 600 тыс. рублей.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Заменен водопровод по ул. Юбилейная в п. Горшечное.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Проведен текущий ремонт на 35 водозаборных сооружениях в Горшеченском районе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за счет муниципальных средст более 2,6 млн. рублей.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Для безопасной эксплуатации гидротехнических сооружений Администрацией Горшеченского района: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Сделан расчет вреда на ГТС в с.Солдатское Горшеченского района.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Сделан расчет вреда ГТС в с.Степановка Горшеченского района.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Сделаны правила безопасности и критерии безопасности на ГТС с. Головище Горшеченского района.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Сделаны правила безопасности и критерии безопасности на ГТС с. Сомовка Горшеченского района.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  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 рамках полномочий по градостроительной деятельности</w:t>
            </w:r>
          </w:p>
        </w:tc>
      </w:tr>
      <w:tr>
        <w:trPr>
          <w:trHeight w:val="322" w:hRule="atLeast"/>
        </w:trPr>
        <w:tc>
          <w:tcPr>
            <w:tcW w:w="98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закоординировано 940 контуров терроториальных зон в 14 сельсоветах.</w:t>
            </w:r>
          </w:p>
        </w:tc>
      </w:tr>
      <w:tr>
        <w:trPr>
          <w:trHeight w:val="322" w:hRule="atLeast"/>
        </w:trPr>
        <w:tc>
          <w:tcPr>
            <w:tcW w:w="988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u w:val="single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Введено за 2023 год  6902  м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vertAlign w:val="superscript"/>
                <w:lang w:val="ru-RU" w:eastAsia="en-US" w:bidi="ar-SA"/>
              </w:rPr>
              <w:t xml:space="preserve">2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 xml:space="preserve"> жилых домов, что на 2% больше плана.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98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Кроме того за счет софинансирования Администрацией Горшеченского района обеспечены жильем три молодые семьи.</w:t>
            </w:r>
          </w:p>
        </w:tc>
      </w:tr>
      <w:tr>
        <w:trPr>
          <w:trHeight w:val="322" w:hRule="atLeast"/>
        </w:trPr>
        <w:tc>
          <w:tcPr>
            <w:tcW w:w="988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В рамках Государственных полнамочий за счет чредств субвенции организован отлов, лечение, содержание и стерилизация безнадзорных 95 собак.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Сумма затраченных средст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более 561 тыс. рублей.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В 2023 году построен и введен в эксплуатацию один жилой дом для детей сирот. Жилье получили четыре ребенка. В рамках Государственных полнамочий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за счет чредств субвенции 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более 8,8 млн. рублей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.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При непосредственном участии Администрации Горшеченского района региональным оператором по капитальному ремонту МКД отремонтирована капитально кровля МКД на ул. Кирова и ул. Октябрьская .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Построена по программе «Комплексное развитие сельских территорий» комплексная  спортивная площадка в с. Болото Горшеченского района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сумма средст более 16,8 млн. рублей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, что позволит дать возможность заниматься жителям с. Болото и соседних сел футболом, большим тенисом, баскетболом, волейболом и заниматься на спортивных тренажерах. Построен и введен в эксплуатацию Болотский ФАП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сумма израсходованных средств более 14 млн. рублей.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Так же по этой программе начата реконструкция Болотского СДК с вводом в эксплуатацию весной 2024 года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сумма запланированных средст более 31 млн. рублей..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Для цивилизованного сбора твердых коммунальных отходов построены Администрацией Горшеченского района 7 контейнерных площадок 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за счет муниципальных средст 350 тыс. рублей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По программе догазификации газифицируются жилые дома в Горшеченском районе.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Работниками Администрации Горшеченского района для улучшения экологии территории Горшеченского района провели 7 субботников и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Ликвидировали 14 несанкционированных свалок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сумма расходов составила 260 тыс. рублей.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 рамках полномочий по дорожной деятельности в 2023 году было произведено улучшение покрытия грунтовых дорог местного значения с покрытием шлаком и щебнемв более 5,2 км. следующих населенных пунктах: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с.Ясенки ул.Садовая – 650 м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с.Ясенки ул.Третьякевича - 440 м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с.Бараново пер.Светлый – 600 м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с.Богородицкое ул.Пионерская – 1 000 м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с.Быково ул.Школьная – 620 м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с.Старое Роговое ул.Сосновая – 520 м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д.Ивановка ул.Юбилейная – 400 м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Знаменка-Каменка – 960 м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Сделан ямочный ремонт в п. Горшечное по ул. Ворошилова,ул. Мира,ул. Железнодорожная, ул. Первомайская</w:t>
            </w:r>
          </w:p>
        </w:tc>
      </w:tr>
      <w:tr>
        <w:trPr/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Сделана дорожная разметка  по ул. Третьякевича в с. Ясенки.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 xml:space="preserve">Сумма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израсходованных муниципальных средств составила более 22,4 млн. рублей.</w:t>
            </w:r>
          </w:p>
        </w:tc>
      </w:tr>
      <w:tr>
        <w:trPr>
          <w:trHeight w:val="693" w:hRule="atLeast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Приобретены и установлены дорожные знаки, закупленны светоотражающие желеты для первоклассников школ Горшеченского района в рамках районной комиссии  по БДД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за счет муниципальных средст более 96 тыс. рублей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. 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240"/>
        <w:jc w:val="center"/>
        <w:rPr>
          <w:b/>
          <w:b/>
          <w:bCs/>
          <w:color w:val="000000"/>
          <w:sz w:val="32"/>
          <w:szCs w:val="32"/>
          <w:u w:val="single"/>
          <w:lang w:val="ru-RU"/>
        </w:rPr>
      </w:pPr>
      <w:r>
        <w:rPr>
          <w:b/>
          <w:bCs/>
          <w:color w:val="000000"/>
          <w:sz w:val="32"/>
          <w:szCs w:val="32"/>
          <w:u w:val="single"/>
          <w:lang w:val="ru-RU"/>
        </w:rPr>
        <w:t>Образование</w:t>
      </w:r>
    </w:p>
    <w:p>
      <w:pPr>
        <w:pStyle w:val="NormalWeb"/>
        <w:shd w:val="clear" w:color="auto" w:fill="FFFFFF"/>
        <w:spacing w:beforeAutospacing="0" w:before="0" w:afterAutospacing="0" w:after="240"/>
        <w:ind w:firstLine="420"/>
        <w:jc w:val="both"/>
        <w:rPr>
          <w:rFonts w:eastAsia="Arial"/>
          <w:color w:val="252525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Роль образования на современном этапе развития страны возросла.  Главная наша задача - создание условий для получения качественного образования и воспитания здоровой, счастливой, свободной и ориентированной на труд личности, гражданина России. </w:t>
      </w:r>
    </w:p>
    <w:p>
      <w:pPr>
        <w:pStyle w:val="Normal"/>
        <w:ind w:firstLine="560"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в нашем районе проводилась серьезная работа по созданию комфортных условий для всех участников образовательного процесса. </w:t>
      </w:r>
    </w:p>
    <w:p>
      <w:pPr>
        <w:pStyle w:val="Normal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программы «Модернизация школьных систем образования» отремонтированы и оснащены современным оборудованием Болотская, Быковская, Мелавская школы. </w:t>
      </w:r>
    </w:p>
    <w:p>
      <w:pPr>
        <w:pStyle w:val="Normal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региональной программе «Народный бюджет» отремонтирована кровля Ясеновской СОШ, построена многофункциональная спортивная площадка в Солдатской СОШ, благоустроена территория Горшеченской СОШ им. Н.И. Жиронкина.</w:t>
      </w:r>
    </w:p>
    <w:p>
      <w:pPr>
        <w:pStyle w:val="Normal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Ясеновской СОШ открыт цент естественно-научного и гуманитарного профилей «Точка роста». </w:t>
      </w:r>
    </w:p>
    <w:p>
      <w:pPr>
        <w:pStyle w:val="Normal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Сосновская СОШ оснащена современным цифровым оборудованием.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2023 г. Горшеченский район стал пилотной площадкой по реализации Стратегии развития образования Курской области. На базе нашего района шла апробация всех 9 проектов Стратегии.</w:t>
      </w:r>
    </w:p>
    <w:p>
      <w:pPr>
        <w:pStyle w:val="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открыты профильные классы: сельскохозяйственный, технический, медицинский, IT-класс. В детском саду п. Горшечное создан Профиград, где с детьми дошкольного возраста занимаются профориентационной работой.   В Горшеченской СОШ им. Жиронкина  созданы многофункциональные пространства для обучения и отдыха детей. Во всех школах района установлена локальная сеть.</w:t>
      </w:r>
    </w:p>
    <w:p>
      <w:pPr>
        <w:pStyle w:val="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5 учреждениях  функционирует «Школа полного дня» (ГСШ, Солдатская, Барановская, Ясеновская, Мелавская).</w:t>
      </w:r>
    </w:p>
    <w:p>
      <w:pPr>
        <w:pStyle w:val="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принята районная программа «Культурно-исторический маршрут горшеченского школьника», в рамках которой все ученики ежегодно посещают знаменательные и памятные места Черноземья. И уже в 2023 году наша программа переросла в областной проект «Я-курянин». На мой взгляд необходимо, чтобы каждый ребенок, как можно лучше узнал историю и природу своего края, что несомненно способствует патриотическому воспитанию.</w:t>
      </w:r>
    </w:p>
    <w:p>
      <w:pPr>
        <w:pStyle w:val="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мы уделяем работе с одаренными детьми. Для мотивации школьников учреждена Премия и стипендия Главы района. В начале января в качестве поощрения стипендиантов и детской администрации была организована поездка в Москву на выставку «Россия». А все отличники по итогам года получают единовременную выплату. </w:t>
      </w:r>
    </w:p>
    <w:p>
      <w:pPr>
        <w:pStyle w:val="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целях организации занятости детей в летний период на территории района функционирует 30 летних игровых площадок, 4 лагеря с дневным пребыванием детей, лагерь труда и отдыха, оздоровительный лагерь «Солнышко», где уже 2 года организована профильная смена по 4 направлениям.  </w:t>
      </w:r>
    </w:p>
    <w:p>
      <w:pPr>
        <w:pStyle w:val="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И, конечно же, мы понимаем: для того чтобы наши дети всесторонне развивались, они должны быть здоровы. Поэтому на протяжении уже 10 лет для всех школьников района организовано бесплатное 2-х разовое горячее питание. А в школах полного дня - трехразовое. </w:t>
        <w:tab/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Востребован оказался и центр психолого-медико-педагогического сопровождения детей, который был открыт 1марта 2023г.  Помимо 4 штатных специалистов, здесь организуются выездные приемы опытными педиатрами, психологами, детскими неврологами. У нас дефицит таких кадров. На прием везут детей со всего района.</w:t>
      </w:r>
    </w:p>
    <w:p>
      <w:pPr>
        <w:pStyle w:val="Normal"/>
        <w:ind w:firstLine="708"/>
        <w:jc w:val="both"/>
        <w:rPr>
          <w:rFonts w:ascii="Times New Roman" w:hAnsi="Times New Roman" w:eastAsia="Noto Sans Armenian"/>
          <w:color w:val="000000"/>
          <w:sz w:val="28"/>
          <w:szCs w:val="28"/>
          <w:shd w:fill="FFFFFF" w:val="clear"/>
        </w:rPr>
      </w:pPr>
      <w:r>
        <w:rPr>
          <w:rFonts w:eastAsia="Noto Sans Armenian" w:ascii="Times New Roman" w:hAnsi="Times New Roman"/>
          <w:color w:val="000000"/>
          <w:sz w:val="28"/>
          <w:szCs w:val="28"/>
          <w:shd w:fill="FFFFFF" w:val="clear"/>
        </w:rPr>
        <w:t xml:space="preserve">Также в рамках Стратегии для методической поддержки педагогов открылся и уже эффективно работает  межмуниципальный методический центр. </w:t>
      </w:r>
    </w:p>
    <w:p>
      <w:pPr>
        <w:pStyle w:val="Normal"/>
        <w:ind w:firstLine="708"/>
        <w:jc w:val="both"/>
        <w:rPr>
          <w:rFonts w:ascii="Times New Roman" w:hAnsi="Times New Roman" w:eastAsia="Noto Sans Armenian"/>
          <w:color w:val="000000"/>
          <w:sz w:val="28"/>
          <w:szCs w:val="28"/>
          <w:shd w:fill="FFFFFF" w:val="clear"/>
        </w:rPr>
      </w:pPr>
      <w:r>
        <w:rPr>
          <w:rFonts w:eastAsia="Noto Sans Armenian" w:ascii="Times New Roman" w:hAnsi="Times New Roman"/>
          <w:color w:val="000000"/>
          <w:sz w:val="28"/>
          <w:szCs w:val="28"/>
          <w:shd w:fill="FFFFFF" w:val="clear"/>
        </w:rPr>
        <w:t>В августе прошлого года впервые областной педагогический форум прошел не в Курске, а на территории сельского района, конечно же, Горшеченского.</w:t>
      </w:r>
    </w:p>
    <w:p>
      <w:pPr>
        <w:pStyle w:val="Normal"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 2023 году мы начали работу по созданию единого образовательного комплекса, эффективной сети образовательных учреждений. Ликвидированы </w:t>
      </w:r>
      <w:r>
        <w:rPr>
          <w:rFonts w:ascii="Times New Roman" w:hAnsi="Times New Roman"/>
          <w:sz w:val="28"/>
          <w:szCs w:val="28"/>
        </w:rPr>
        <w:t xml:space="preserve">4 малокомплектные школы: Головищенская, Богатыревская, Знаменская, Бекетовская. Горшеченская СОШ №2 присоединилась к Горшеченской СОШ им. Жиронкина, Роговская и Удобенская СОШ реорганизованы в филиалы МКОУ «Горшеченская СОШ им.Жиронкина». В настоящее время функционирует 9 школ и 2 филиала, в которых обучается 1293 ученика.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и  8 дошкольных группах воспитывается 320 детей.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2 -х учреждениях дополнительного образования - 576.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образовательных учреждениях района работают 275 педагогов,  10%  имеют высшую категорию, 75%- первую.  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На сегодня политику в сфере культуры и искусства обеспечивают 44 учреждения культуры.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 них: 22 библиотеки (20 на селе) и 20 учреждений культурно-досугового типа (18 сельских домов культуры), Горшеченская детская школа искусств, Горшеченский краеведческий музей.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2023 году по итогам конкурса «Государственная поддержка лучших сельских учреждений культуры» лучшим муниципальным учреждением были признаны Новомеловский СДК – филиала МКУК «Горшеченский РДТ» и Болотская сельская библиотека – филиал МКУК «Горшеченскаямежпоселенческая библиотека». Они получили денежное поощрение в размере 100 000 рублей на укрепление материально-технической базы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Деньги израсходованы на приобретение оргтехники для учреждений.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Благодаря реализации Федерального партийного проекта «Единая Россия» «Культура малой Родины» в 2023 году в Горшеченском районном Доме творчества обновлена одежда сцены на сумму 854 тыс. руб.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настоящее время ведется ремонт Удобенского сельского Дома культуры в рамках реализации национального проекта «Культура», также реконструируется Болотский Дом культуры в рамках Федеральной программы «Комплексное развитие сельских территорий».</w:t>
      </w:r>
    </w:p>
    <w:p>
      <w:pPr>
        <w:pStyle w:val="Normal"/>
        <w:tabs>
          <w:tab w:val="clear" w:pos="708"/>
          <w:tab w:val="left" w:pos="288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13 июня 2023 года прошло культурное событие невероятного для района масштаба. В рамках фестиваля-марафона «Песни России – 2023» состоялся грандиозный концерт с участием Народной артистки России Надежды Бабкиной. Зрителями этой яркой концертной программы стали тысячи жителей и гости нашего района.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Наряду с профессиональными артистами и коллективами из разных уголков нашей необъятной страны на одной сцене с Надеждой Бабкиной выступали и горшеченцы – народный ансамбль русской песни «Околица», народный хор Горшеченского районного Дома творчества, самодеятельный хореографический коллектив «Азарт», ансамбль ложкарей «Потешки».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Благодаря национальному проекту «Культура», инициированному президентом РФ Владимиром Путиным, Горшеченским районным Домом творчества был приобретен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автоклуб.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Автоклуб – это клуб на колесах, который может приехать в отдаленные населенные пункты района. За отчетный период было сделано более 30 выездов.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2022 года на территории Горшеченского района реализуется федеральный проект «Пушкинская карта». На сегодня Пушкинскую карту имеют 445 чел. (371 чел. из которых школьники) в возрасте от 14 до 22 лет.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сегодня Горшеченским районным домом творчества и межпоселенческой библиотекой проведено 85 различных по форме мероприятий с посещением (1393 чел.). Сумма проданных билетов составляет – 87700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МКУК «Горшеченское киноучреждение «Восход» - продемонстрировано 66 художественных фильма ( 605 зрителей) (на сумму 86150 руб.)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данному направлению Горшеченский район занимает 4 место по культурно -досуговым учреждениям и 1 место согласно рейтинга  библиотек.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отчетный период район принял участие в 76 конкурсах и фестивалях различного уровня, где завоевали более 200 призовых мест.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Основными направлениями бюджетной политики Горшеченского района на  2024 год и на ближайшую перспективу является обеспечение долгосрочной сбалансированности и устойчивости бюджетной системы при безусловном исполнении всех обязательств и задач, поставленных в Указах Президента Российской Федерации от 7 мая 2012 года, Посланий Президента Российской Федерации на 2024 год, муниципальных программ и достижение поставленных целей, для реализации которых имеются необходимые ресурсы.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Общегосударственные вопросы 97087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Национальная безопасность и правоохранительная деятельность 3330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Национальная экономика 22109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Жилищно-коммунальное хозяйство 13077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Образование 562324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Культура 80827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Здравоохранение 562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Социальная политика 54678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Физическая культура и спорт 28031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Межбюджетные трансферты 9284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Итого 871309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Я очень коротко остановился на тех делах, которыми занимался наш район в 2023 году. Помимо этого велась каждодневная работа в сельских советах, отделах Администрации. Хотелось, чтобы каждый из нас понял, что за каждым мероприятием - культурным или спортивным, за каждой стройкой, ремонтом, приобретением - стоит большая подготовительная и организационная работа. Именно поэтому я благодарю всех, кто принимает в этом участие.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Одним из самых серьезных вопросов, который волнует практически каждого человека, является проведение СВО. Горшеченцы в очередной раз показали высокую организованность и патриотизм.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Хочу поблагодарить всех жителей района, которые приняли участие в сборе гуманитарной помощи и продолжают это делать.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</w:p>
    <w:sectPr>
      <w:type w:val="nextPage"/>
      <w:pgSz w:w="11906" w:h="16838"/>
      <w:pgMar w:left="1134" w:right="851" w:header="0" w:top="993" w:footer="0" w:bottom="34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cc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647da"/>
    <w:rPr>
      <w:rFonts w:ascii="Tahoma" w:hAnsi="Tahoma" w:cs="Tahoma"/>
      <w:sz w:val="16"/>
      <w:szCs w:val="16"/>
    </w:rPr>
  </w:style>
  <w:style w:type="character" w:styleId="Style15">
    <w:name w:val="Выделение"/>
    <w:basedOn w:val="DefaultParagraphFont"/>
    <w:link w:val="1"/>
    <w:qFormat/>
    <w:rsid w:val="00fe29e9"/>
    <w:rPr>
      <w:rFonts w:ascii="Times New Roman" w:hAnsi="Times New Roman" w:eastAsia="Times New Roman" w:cs="Times New Roman"/>
      <w:i/>
      <w:color w:val="000000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647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" w:customStyle="1">
    <w:name w:val="Выделение1"/>
    <w:basedOn w:val="Normal"/>
    <w:link w:val="a5"/>
    <w:qFormat/>
    <w:rsid w:val="00fe29e9"/>
    <w:pPr>
      <w:spacing w:lineRule="auto" w:line="240" w:before="0" w:after="0"/>
    </w:pPr>
    <w:rPr>
      <w:rFonts w:ascii="Times New Roman" w:hAnsi="Times New Roman" w:eastAsia="Times New Roman" w:cs="Times New Roman"/>
      <w:i/>
      <w:color w:val="000000"/>
      <w:sz w:val="20"/>
      <w:szCs w:val="20"/>
    </w:rPr>
  </w:style>
  <w:style w:type="paragraph" w:styleId="NormalWeb">
    <w:name w:val="Normal (Web)"/>
    <w:semiHidden/>
    <w:unhideWhenUsed/>
    <w:qFormat/>
    <w:rsid w:val="00d54ce6"/>
    <w:pPr>
      <w:widowControl/>
      <w:bidi w:val="0"/>
      <w:spacing w:lineRule="auto" w:line="240" w:beforeAutospacing="1" w:afterAutospacing="1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5c6fa6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412f6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LibreOffice/7.0.4.2$Windows_X86_64 LibreOffice_project/dcf040e67528d9187c66b2379df5ea4407429775</Application>
  <AppVersion>15.0000</AppVersion>
  <Pages>8</Pages>
  <Words>2455</Words>
  <Characters>16012</Characters>
  <CharactersWithSpaces>18906</CharactersWithSpaces>
  <Paragraphs>224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2023-02-08T13:45:00Z</dcterms:created>
  <dc:creator>Пользователь</dc:creator>
  <dc:description/>
  <dc:language>ru-RU</dc:language>
  <cp:lastModifiedBy>Пользователь</cp:lastModifiedBy>
  <cp:lastPrinted>2023-02-13T06:31:00Z</cp:lastPrinted>
  <dcterms:modified xsi:type="dcterms:W3CDTF">2024-02-09T05:51:00Z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