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Autospacing="on" w:beforeAutospacing="on" w:line="240" w:lineRule="auto"/>
        <w:ind/>
        <w:jc w:val="right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i w:val="1"/>
          <w:color w:val="010101"/>
          <w:sz w:val="24"/>
        </w:rPr>
        <w:t>ПРОЕКТ</w:t>
      </w:r>
    </w:p>
    <w:p w14:paraId="02000000">
      <w:pPr>
        <w:spacing w:after="0" w:line="240" w:lineRule="auto"/>
        <w:ind/>
        <w:jc w:val="right"/>
        <w:outlineLvl w:val="1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>
        <w:rPr>
          <w:rFonts w:ascii="Times New Roman" w:hAnsi="Times New Roman"/>
          <w:color w:val="010101"/>
          <w:sz w:val="24"/>
        </w:rPr>
        <w:t>сельских поселений муниципального района «Горшеченский район» Курской области</w:t>
      </w:r>
      <w:r>
        <w:rPr>
          <w:rFonts w:ascii="Times New Roman" w:hAnsi="Times New Roman"/>
          <w:color w:val="010101"/>
          <w:sz w:val="24"/>
        </w:rPr>
        <w:t xml:space="preserve"> на 202</w:t>
      </w:r>
      <w:r>
        <w:rPr>
          <w:rFonts w:ascii="Times New Roman" w:hAnsi="Times New Roman"/>
          <w:color w:val="010101"/>
          <w:sz w:val="24"/>
        </w:rPr>
        <w:t>3</w:t>
      </w:r>
      <w:r>
        <w:rPr>
          <w:rFonts w:ascii="Times New Roman" w:hAnsi="Times New Roman"/>
          <w:color w:val="010101"/>
          <w:sz w:val="24"/>
        </w:rPr>
        <w:t xml:space="preserve"> год </w:t>
      </w:r>
    </w:p>
    <w:p w14:paraId="03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b w:val="1"/>
          <w:color w:val="010101"/>
          <w:sz w:val="24"/>
        </w:rPr>
        <w:t>Раздел 1. Общие положения </w:t>
      </w:r>
    </w:p>
    <w:p w14:paraId="0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rFonts w:ascii="Times New Roman" w:hAnsi="Times New Roman"/>
          <w:color w:val="010101"/>
          <w:sz w:val="24"/>
        </w:rPr>
        <w:t>сельских поселений муниципального района «Горшеченский район» Курской области</w:t>
      </w:r>
      <w:r>
        <w:rPr>
          <w:rFonts w:ascii="Times New Roman" w:hAnsi="Times New Roman"/>
          <w:color w:val="010101"/>
          <w:sz w:val="24"/>
        </w:rPr>
        <w:t> </w:t>
      </w:r>
    </w:p>
    <w:p w14:paraId="05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b w:val="1"/>
          <w:color w:val="010101"/>
          <w:sz w:val="24"/>
        </w:rPr>
        <w:t>Раздел 2. Аналитическая часть Программы </w:t>
      </w:r>
    </w:p>
    <w:p w14:paraId="0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2.1. Вид осуществляемого муниципального контроля.</w:t>
      </w:r>
    </w:p>
    <w:p w14:paraId="07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Муниципальный земельный контроль на территории </w:t>
      </w:r>
      <w:r>
        <w:rPr>
          <w:rFonts w:ascii="Times New Roman" w:hAnsi="Times New Roman"/>
          <w:color w:val="010101"/>
          <w:sz w:val="24"/>
        </w:rPr>
        <w:t>сельских поселений муниципального района «Горшеченский район» Курской области</w:t>
      </w:r>
      <w:r>
        <w:rPr>
          <w:rFonts w:ascii="Times New Roman" w:hAnsi="Times New Roman"/>
          <w:color w:val="010101"/>
          <w:sz w:val="24"/>
        </w:rPr>
        <w:t xml:space="preserve"> осуществляется </w:t>
      </w:r>
      <w:r>
        <w:rPr>
          <w:rFonts w:ascii="Times New Roman" w:hAnsi="Times New Roman"/>
          <w:color w:val="010101"/>
          <w:sz w:val="24"/>
        </w:rPr>
        <w:t xml:space="preserve">Администрацией Горшеченского района Курской области </w:t>
      </w:r>
      <w:r>
        <w:rPr>
          <w:rFonts w:ascii="Times New Roman" w:hAnsi="Times New Roman"/>
          <w:color w:val="010101"/>
          <w:sz w:val="24"/>
        </w:rPr>
        <w:t xml:space="preserve">(далее – </w:t>
      </w:r>
      <w:r>
        <w:rPr>
          <w:rFonts w:ascii="Times New Roman" w:hAnsi="Times New Roman"/>
          <w:color w:val="010101"/>
          <w:sz w:val="24"/>
        </w:rPr>
        <w:t>Администрация</w:t>
      </w:r>
      <w:r>
        <w:rPr>
          <w:rFonts w:ascii="Times New Roman" w:hAnsi="Times New Roman"/>
          <w:color w:val="010101"/>
          <w:sz w:val="24"/>
        </w:rPr>
        <w:t>).</w:t>
      </w:r>
    </w:p>
    <w:p w14:paraId="0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2.2. Обзор по виду муниципального контроля.</w:t>
      </w:r>
    </w:p>
    <w:p w14:paraId="0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r>
        <w:rPr>
          <w:rFonts w:ascii="Times New Roman" w:hAnsi="Times New Roman"/>
          <w:color w:val="010101"/>
          <w:sz w:val="24"/>
        </w:rPr>
        <w:t xml:space="preserve"> положения, существовавшего до возникновения таких нарушений.</w:t>
      </w:r>
    </w:p>
    <w:p w14:paraId="0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2.3. Муниципальный земельный контроль осуществляется посредством:</w:t>
      </w:r>
    </w:p>
    <w:p w14:paraId="0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14:paraId="0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0E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0F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2.4. Подконтрольные субъекты:</w:t>
      </w:r>
    </w:p>
    <w:p w14:paraId="1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14:paraId="1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/>
          <w:color w:val="010101"/>
          <w:sz w:val="24"/>
        </w:rPr>
        <w:t>Администрацией</w:t>
      </w:r>
      <w:r>
        <w:rPr>
          <w:rFonts w:ascii="Times New Roman" w:hAnsi="Times New Roman"/>
          <w:color w:val="010101"/>
          <w:sz w:val="24"/>
        </w:rPr>
        <w:t xml:space="preserve"> мероприятий по муниципальному земельному контролю:</w:t>
      </w:r>
    </w:p>
    <w:p w14:paraId="1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-Земельный Кодекс Российской Федерации.</w:t>
      </w:r>
    </w:p>
    <w:p w14:paraId="13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2.6. Данные о проведенных мероприятиях.</w:t>
      </w:r>
    </w:p>
    <w:p w14:paraId="1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В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>
        <w:rPr>
          <w:rFonts w:ascii="Times New Roman" w:hAnsi="Times New Roman"/>
          <w:color w:val="010101"/>
          <w:sz w:val="24"/>
        </w:rPr>
        <w:t>в</w:t>
      </w:r>
      <w:r>
        <w:rPr>
          <w:rFonts w:ascii="Times New Roman" w:hAnsi="Times New Roman"/>
          <w:color w:val="010101"/>
          <w:sz w:val="24"/>
        </w:rPr>
        <w:t xml:space="preserve"> 2020</w:t>
      </w:r>
      <w:r>
        <w:rPr>
          <w:rFonts w:ascii="Times New Roman" w:hAnsi="Times New Roman"/>
          <w:color w:val="010101"/>
          <w:sz w:val="24"/>
        </w:rPr>
        <w:t>-202</w:t>
      </w:r>
      <w:r>
        <w:rPr>
          <w:rFonts w:ascii="Times New Roman" w:hAnsi="Times New Roman"/>
          <w:color w:val="010101"/>
          <w:sz w:val="24"/>
        </w:rPr>
        <w:t>2</w:t>
      </w:r>
      <w:r>
        <w:rPr>
          <w:rFonts w:ascii="Times New Roman" w:hAnsi="Times New Roman"/>
          <w:color w:val="010101"/>
          <w:sz w:val="24"/>
        </w:rPr>
        <w:t xml:space="preserve"> год</w:t>
      </w:r>
      <w:r>
        <w:rPr>
          <w:rFonts w:ascii="Times New Roman" w:hAnsi="Times New Roman"/>
          <w:color w:val="010101"/>
          <w:sz w:val="24"/>
        </w:rPr>
        <w:t>ах</w:t>
      </w:r>
      <w:r>
        <w:rPr>
          <w:rFonts w:ascii="Times New Roman" w:hAnsi="Times New Roman"/>
          <w:color w:val="010101"/>
          <w:sz w:val="24"/>
        </w:rPr>
        <w:t xml:space="preserve"> в отношении юридических лиц и индивидуальных предпринимателей </w:t>
      </w:r>
      <w:r>
        <w:rPr>
          <w:rFonts w:ascii="Times New Roman" w:hAnsi="Times New Roman"/>
          <w:color w:val="010101"/>
          <w:sz w:val="24"/>
        </w:rPr>
        <w:t>Администрацией</w:t>
      </w:r>
      <w:r>
        <w:rPr>
          <w:rFonts w:ascii="Times New Roman" w:hAnsi="Times New Roman"/>
          <w:color w:val="010101"/>
          <w:sz w:val="24"/>
        </w:rPr>
        <w:t xml:space="preserve"> плановые и внеплановые проверки</w:t>
      </w:r>
      <w:r>
        <w:rPr>
          <w:rFonts w:ascii="Times New Roman" w:hAnsi="Times New Roman"/>
          <w:color w:val="010101"/>
          <w:sz w:val="24"/>
        </w:rPr>
        <w:t xml:space="preserve"> соблюдения земельного законодательства не проводились.</w:t>
      </w:r>
    </w:p>
    <w:p w14:paraId="15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2.7. Анализ и оценка рисков причинения вреда охраняемым законом ценностям.</w:t>
      </w:r>
    </w:p>
    <w:p w14:paraId="1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14:paraId="17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18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b w:val="1"/>
          <w:color w:val="010101"/>
          <w:sz w:val="24"/>
        </w:rPr>
        <w:t>Раздел 3. Цели и задачи Программы </w:t>
      </w:r>
    </w:p>
    <w:p w14:paraId="1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3.1. Цели Программы:</w:t>
      </w:r>
    </w:p>
    <w:p w14:paraId="1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1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3.2. Задачи Программы:</w:t>
      </w:r>
    </w:p>
    <w:p w14:paraId="1E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1F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0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21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- повышение прозрачности осуществляемой </w:t>
      </w:r>
      <w:r>
        <w:rPr>
          <w:rFonts w:ascii="Times New Roman" w:hAnsi="Times New Roman"/>
          <w:color w:val="010101"/>
          <w:sz w:val="24"/>
        </w:rPr>
        <w:t>Администрацией</w:t>
      </w:r>
      <w:r>
        <w:rPr>
          <w:rFonts w:ascii="Times New Roman" w:hAnsi="Times New Roman"/>
          <w:color w:val="010101"/>
          <w:sz w:val="24"/>
        </w:rPr>
        <w:t xml:space="preserve"> контрольной деятельности;</w:t>
      </w:r>
    </w:p>
    <w:p w14:paraId="22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23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b w:val="1"/>
          <w:color w:val="010101"/>
          <w:sz w:val="24"/>
        </w:rPr>
        <w:t>Раздел 4. План мероприятий по профилактике нарушений </w:t>
      </w:r>
    </w:p>
    <w:p w14:paraId="24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>
        <w:rPr>
          <w:rFonts w:ascii="Times New Roman" w:hAnsi="Times New Roman"/>
          <w:color w:val="010101"/>
          <w:sz w:val="24"/>
        </w:rPr>
        <w:t>3</w:t>
      </w:r>
      <w:r>
        <w:rPr>
          <w:rFonts w:ascii="Times New Roman" w:hAnsi="Times New Roman"/>
          <w:color w:val="010101"/>
          <w:sz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>
        <w:rPr>
          <w:rFonts w:ascii="Times New Roman" w:hAnsi="Times New Roman"/>
          <w:color w:val="010101"/>
          <w:sz w:val="24"/>
        </w:rPr>
        <w:t>3</w:t>
      </w:r>
      <w:r>
        <w:rPr>
          <w:rFonts w:ascii="Times New Roman" w:hAnsi="Times New Roman"/>
          <w:color w:val="010101"/>
          <w:sz w:val="24"/>
        </w:rPr>
        <w:t xml:space="preserve"> год (приложение). </w:t>
      </w:r>
    </w:p>
    <w:p w14:paraId="25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b w:val="1"/>
          <w:color w:val="010101"/>
          <w:sz w:val="24"/>
        </w:rPr>
        <w:t>Раздел 5. Показатели результативности и эффективности Программы. </w:t>
      </w:r>
    </w:p>
    <w:p w14:paraId="26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Отчетные показатели Программы за 202</w:t>
      </w:r>
      <w:r>
        <w:rPr>
          <w:rFonts w:ascii="Times New Roman" w:hAnsi="Times New Roman"/>
          <w:color w:val="010101"/>
          <w:sz w:val="24"/>
        </w:rPr>
        <w:t>3</w:t>
      </w:r>
      <w:r>
        <w:rPr>
          <w:rFonts w:ascii="Times New Roman" w:hAnsi="Times New Roman"/>
          <w:color w:val="010101"/>
          <w:sz w:val="24"/>
        </w:rPr>
        <w:t xml:space="preserve"> год:</w:t>
      </w:r>
    </w:p>
    <w:p w14:paraId="27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14:paraId="28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29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доля профилактических мероприятий в объеме контрольныхмероприятий-80 %.</w:t>
      </w:r>
    </w:p>
    <w:p w14:paraId="2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2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Экономический эффект от реализованных мероприятий:</w:t>
      </w:r>
    </w:p>
    <w:p w14:paraId="2C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2D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- повышение уровня доверия подконтрольных субъектов к </w:t>
      </w:r>
      <w:r>
        <w:rPr>
          <w:rFonts w:ascii="Times New Roman" w:hAnsi="Times New Roman"/>
          <w:color w:val="010101"/>
          <w:sz w:val="24"/>
        </w:rPr>
        <w:t>Администрации</w:t>
      </w:r>
      <w:r>
        <w:rPr>
          <w:rFonts w:ascii="Times New Roman" w:hAnsi="Times New Roman"/>
          <w:color w:val="010101"/>
          <w:sz w:val="24"/>
        </w:rPr>
        <w:t>. </w:t>
      </w:r>
    </w:p>
    <w:p w14:paraId="2E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b w:val="1"/>
          <w:color w:val="010101"/>
          <w:sz w:val="24"/>
        </w:rPr>
        <w:t>Раздел 6. Порядок управления Программой.</w:t>
      </w:r>
    </w:p>
    <w:p w14:paraId="2F000000">
      <w:pPr>
        <w:spacing w:afterAutospacing="on" w:beforeAutospacing="on" w:line="240" w:lineRule="auto"/>
        <w:ind/>
        <w:jc w:val="center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Перечень должностных лиц </w:t>
      </w:r>
      <w:r>
        <w:rPr>
          <w:rFonts w:ascii="Times New Roman" w:hAnsi="Times New Roman"/>
          <w:color w:val="010101"/>
          <w:sz w:val="24"/>
        </w:rPr>
        <w:t>Администрации</w:t>
      </w:r>
      <w:r>
        <w:rPr>
          <w:rFonts w:ascii="Times New Roman" w:hAnsi="Times New Roman"/>
          <w:color w:val="010101"/>
          <w:sz w:val="24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>
        <w:rPr>
          <w:rFonts w:ascii="Times New Roman" w:hAnsi="Times New Roman"/>
          <w:color w:val="010101"/>
          <w:sz w:val="24"/>
        </w:rPr>
        <w:t>сельских поселений муниципального района «Горшеченский район» Курской области</w:t>
      </w:r>
      <w:r>
        <w:rPr>
          <w:rFonts w:ascii="Times New Roman" w:hAnsi="Times New Roman"/>
          <w:color w:val="010101"/>
          <w:sz w:val="24"/>
        </w:rPr>
        <w:t> </w:t>
      </w:r>
    </w:p>
    <w:tbl>
      <w:tblPr>
        <w:tblStyle w:val="Style_1"/>
        <w:tblBorders>
          <w:top w:color="BBBBBB" w:sz="4" w:val="single"/>
          <w:left w:color="BBBBBB" w:sz="4" w:val="single"/>
          <w:bottom w:color="BBBBBB" w:sz="4" w:val="single"/>
          <w:right w:color="BBBBBB" w:sz="4" w:val="single"/>
        </w:tblBorders>
        <w:tblLayout w:type="fixed"/>
        <w:tblCellMar>
          <w:left w:type="dxa" w:w="0"/>
          <w:right w:type="dxa" w:w="0"/>
        </w:tblCellMar>
      </w:tblPr>
      <w:tblGrid>
        <w:gridCol w:w="354"/>
        <w:gridCol w:w="3609"/>
        <w:gridCol w:w="3091"/>
        <w:gridCol w:w="2302"/>
      </w:tblGrid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№</w:t>
            </w:r>
          </w:p>
          <w:p w14:paraId="3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1010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color w:val="010101"/>
                <w:sz w:val="24"/>
              </w:rPr>
              <w:t>п</w:t>
            </w:r>
          </w:p>
        </w:tc>
        <w:tc>
          <w:tcPr>
            <w:tcW w:type="dxa" w:w="36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Должностные лица</w:t>
            </w:r>
          </w:p>
        </w:tc>
        <w:tc>
          <w:tcPr>
            <w:tcW w:type="dxa" w:w="309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Функции</w:t>
            </w:r>
          </w:p>
        </w:tc>
        <w:tc>
          <w:tcPr>
            <w:tcW w:type="dxa" w:w="230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4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Контакты</w:t>
            </w:r>
          </w:p>
        </w:tc>
      </w:tr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1</w:t>
            </w:r>
          </w:p>
        </w:tc>
        <w:tc>
          <w:tcPr>
            <w:tcW w:type="dxa" w:w="3609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Администрации Горшеченского района Курской области</w:t>
            </w:r>
          </w:p>
        </w:tc>
        <w:tc>
          <w:tcPr>
            <w:tcW w:type="dxa" w:w="3091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type="dxa" w:w="230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8 (47133) 2-24-83</w:t>
            </w:r>
          </w:p>
          <w:p w14:paraId="3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adm.zemly@yandex.ru</w:t>
            </w:r>
            <w:r>
              <w:rPr>
                <w:rFonts w:ascii="Times New Roman" w:hAnsi="Times New Roman"/>
                <w:color w:val="010101"/>
                <w:sz w:val="24"/>
              </w:rPr>
              <w:t> </w:t>
            </w:r>
          </w:p>
        </w:tc>
      </w:tr>
    </w:tbl>
    <w:p w14:paraId="3A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</w:t>
      </w:r>
      <w:r>
        <w:rPr>
          <w:rFonts w:ascii="Times New Roman" w:hAnsi="Times New Roman"/>
          <w:color w:val="010101"/>
          <w:sz w:val="24"/>
        </w:rPr>
        <w:t>сельских поселений муниципального района «Горшеченский район» Курской области</w:t>
      </w:r>
      <w:r>
        <w:rPr>
          <w:rFonts w:ascii="Times New Roman" w:hAnsi="Times New Roman"/>
          <w:color w:val="010101"/>
          <w:sz w:val="24"/>
        </w:rPr>
        <w:t xml:space="preserve"> на 202</w:t>
      </w:r>
      <w:r>
        <w:rPr>
          <w:rFonts w:ascii="Times New Roman" w:hAnsi="Times New Roman"/>
          <w:color w:val="010101"/>
          <w:sz w:val="24"/>
        </w:rPr>
        <w:t>3</w:t>
      </w:r>
      <w:r>
        <w:rPr>
          <w:rFonts w:ascii="Times New Roman" w:hAnsi="Times New Roman"/>
          <w:color w:val="010101"/>
          <w:sz w:val="24"/>
        </w:rPr>
        <w:t xml:space="preserve"> год.</w:t>
      </w:r>
    </w:p>
    <w:p w14:paraId="3B000000">
      <w:pPr>
        <w:spacing w:afterAutospacing="on" w:beforeAutospacing="on" w:line="240" w:lineRule="auto"/>
        <w:ind/>
        <w:jc w:val="both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Результаты профилактической работы Управления включаются в Доклад об осуществлении муниципального земельного на территории </w:t>
      </w:r>
      <w:r>
        <w:rPr>
          <w:rFonts w:ascii="Times New Roman" w:hAnsi="Times New Roman"/>
          <w:color w:val="010101"/>
          <w:sz w:val="24"/>
        </w:rPr>
        <w:t>сельских поселений муниципального района «Горшеченский район» Курской области</w:t>
      </w:r>
      <w:r>
        <w:rPr>
          <w:rFonts w:ascii="Times New Roman" w:hAnsi="Times New Roman"/>
          <w:color w:val="010101"/>
          <w:sz w:val="24"/>
        </w:rPr>
        <w:t xml:space="preserve"> на 202</w:t>
      </w:r>
      <w:r>
        <w:rPr>
          <w:rFonts w:ascii="Times New Roman" w:hAnsi="Times New Roman"/>
          <w:color w:val="010101"/>
          <w:sz w:val="24"/>
        </w:rPr>
        <w:t>3</w:t>
      </w:r>
      <w:r>
        <w:rPr>
          <w:rFonts w:ascii="Times New Roman" w:hAnsi="Times New Roman"/>
          <w:color w:val="010101"/>
          <w:sz w:val="24"/>
        </w:rPr>
        <w:t xml:space="preserve"> год.</w:t>
      </w:r>
    </w:p>
    <w:p w14:paraId="3C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3D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3E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3F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0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1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2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3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4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5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6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7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8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9000000">
      <w:pPr>
        <w:spacing w:afterAutospacing="on" w:beforeAutospacing="on" w:line="240" w:lineRule="auto"/>
        <w:ind/>
        <w:jc w:val="right"/>
        <w:rPr>
          <w:rFonts w:ascii="Times New Roman" w:hAnsi="Times New Roman"/>
          <w:b w:val="1"/>
          <w:i w:val="1"/>
          <w:color w:val="010101"/>
          <w:sz w:val="24"/>
        </w:rPr>
      </w:pPr>
    </w:p>
    <w:p w14:paraId="4A000000">
      <w:pPr>
        <w:spacing w:afterAutospacing="on" w:beforeAutospacing="on" w:line="240" w:lineRule="auto"/>
        <w:ind/>
        <w:jc w:val="right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b w:val="1"/>
          <w:i w:val="1"/>
          <w:color w:val="010101"/>
          <w:sz w:val="24"/>
        </w:rPr>
        <w:t>Приложение к Программе профилактики рисков</w:t>
      </w:r>
      <w:r>
        <w:rPr>
          <w:rFonts w:ascii="Times New Roman" w:hAnsi="Times New Roman"/>
          <w:color w:val="010101"/>
          <w:sz w:val="24"/>
        </w:rPr>
        <w:br/>
      </w:r>
      <w:r>
        <w:rPr>
          <w:rFonts w:ascii="Times New Roman" w:hAnsi="Times New Roman"/>
          <w:b w:val="1"/>
          <w:i w:val="1"/>
          <w:color w:val="010101"/>
          <w:sz w:val="24"/>
        </w:rPr>
        <w:t>причинения вреда (ущерба)</w:t>
      </w:r>
      <w:r>
        <w:rPr>
          <w:rFonts w:ascii="Times New Roman" w:hAnsi="Times New Roman"/>
          <w:color w:val="010101"/>
          <w:sz w:val="24"/>
        </w:rPr>
        <w:br/>
      </w:r>
      <w:r>
        <w:rPr>
          <w:rFonts w:ascii="Times New Roman" w:hAnsi="Times New Roman"/>
          <w:b w:val="1"/>
          <w:i w:val="1"/>
          <w:color w:val="010101"/>
          <w:sz w:val="24"/>
        </w:rPr>
        <w:t>охраняемым законом ценностям на 202</w:t>
      </w:r>
      <w:r>
        <w:rPr>
          <w:rFonts w:ascii="Times New Roman" w:hAnsi="Times New Roman"/>
          <w:b w:val="1"/>
          <w:i w:val="1"/>
          <w:color w:val="010101"/>
          <w:sz w:val="24"/>
        </w:rPr>
        <w:t>3</w:t>
      </w:r>
      <w:r>
        <w:rPr>
          <w:rFonts w:ascii="Times New Roman" w:hAnsi="Times New Roman"/>
          <w:b w:val="1"/>
          <w:i w:val="1"/>
          <w:color w:val="010101"/>
          <w:sz w:val="24"/>
        </w:rPr>
        <w:t xml:space="preserve"> год</w:t>
      </w:r>
    </w:p>
    <w:p w14:paraId="4B000000">
      <w:pPr>
        <w:spacing w:after="0" w:line="240" w:lineRule="auto"/>
        <w:ind/>
        <w:jc w:val="center"/>
        <w:outlineLvl w:val="1"/>
        <w:rPr>
          <w:rFonts w:ascii="Times New Roman" w:hAnsi="Times New Roman"/>
          <w:color w:val="010101"/>
          <w:sz w:val="24"/>
        </w:rPr>
      </w:pPr>
      <w:r>
        <w:rPr>
          <w:rFonts w:ascii="Times New Roman" w:hAnsi="Times New Roman"/>
          <w:color w:val="010101"/>
          <w:sz w:val="24"/>
        </w:rPr>
        <w:t xml:space="preserve">План мероприятий по профилактике нарушений земельного законодательства на территории </w:t>
      </w:r>
      <w:r>
        <w:rPr>
          <w:rFonts w:ascii="Times New Roman" w:hAnsi="Times New Roman"/>
          <w:color w:val="010101"/>
          <w:sz w:val="24"/>
        </w:rPr>
        <w:t>сельских поселений муниципального района «Горшеченский район» Курской области</w:t>
      </w:r>
      <w:r>
        <w:rPr>
          <w:rFonts w:ascii="Times New Roman" w:hAnsi="Times New Roman"/>
          <w:color w:val="010101"/>
          <w:sz w:val="24"/>
        </w:rPr>
        <w:t xml:space="preserve"> на 202</w:t>
      </w:r>
      <w:r>
        <w:rPr>
          <w:rFonts w:ascii="Times New Roman" w:hAnsi="Times New Roman"/>
          <w:color w:val="010101"/>
          <w:sz w:val="24"/>
        </w:rPr>
        <w:t>3</w:t>
      </w:r>
      <w:r>
        <w:rPr>
          <w:rFonts w:ascii="Times New Roman" w:hAnsi="Times New Roman"/>
          <w:color w:val="010101"/>
          <w:sz w:val="24"/>
        </w:rPr>
        <w:t xml:space="preserve"> год </w:t>
      </w:r>
    </w:p>
    <w:tbl>
      <w:tblPr>
        <w:tblStyle w:val="Style_1"/>
        <w:tblBorders>
          <w:top w:color="BBBBBB" w:sz="4" w:val="single"/>
          <w:left w:color="BBBBBB" w:sz="4" w:val="single"/>
          <w:bottom w:color="BBBBBB" w:sz="4" w:val="single"/>
          <w:right w:color="BBBBBB" w:sz="4" w:val="single"/>
        </w:tblBorders>
        <w:tblLayout w:type="fixed"/>
        <w:tblCellMar>
          <w:left w:type="dxa" w:w="0"/>
          <w:right w:type="dxa" w:w="0"/>
        </w:tblCellMar>
      </w:tblPr>
      <w:tblGrid>
        <w:gridCol w:w="354"/>
        <w:gridCol w:w="2372"/>
        <w:gridCol w:w="3524"/>
        <w:gridCol w:w="1788"/>
        <w:gridCol w:w="1317"/>
      </w:tblGrid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№</w:t>
            </w:r>
          </w:p>
          <w:p w14:paraId="4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п</w:t>
            </w:r>
            <w:r>
              <w:rPr>
                <w:rFonts w:ascii="Times New Roman" w:hAnsi="Times New Roman"/>
                <w:b w:val="1"/>
                <w:color w:val="010101"/>
                <w:sz w:val="24"/>
              </w:rPr>
              <w:t>/</w:t>
            </w:r>
            <w:r>
              <w:rPr>
                <w:rFonts w:ascii="Times New Roman" w:hAnsi="Times New Roman"/>
                <w:b w:val="1"/>
                <w:color w:val="010101"/>
                <w:sz w:val="24"/>
              </w:rPr>
              <w:t>п</w:t>
            </w:r>
          </w:p>
        </w:tc>
        <w:tc>
          <w:tcPr>
            <w:tcW w:type="dxa" w:w="237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Наименование мероприятия</w:t>
            </w:r>
          </w:p>
        </w:tc>
        <w:tc>
          <w:tcPr>
            <w:tcW w:type="dxa" w:w="352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Сведения о мероприятии</w:t>
            </w:r>
          </w:p>
        </w:tc>
        <w:tc>
          <w:tcPr>
            <w:tcW w:type="dxa" w:w="1788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Ответственный исполнитель</w:t>
            </w:r>
          </w:p>
        </w:tc>
        <w:tc>
          <w:tcPr>
            <w:tcW w:type="dxa" w:w="1317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b w:val="1"/>
                <w:color w:val="010101"/>
                <w:sz w:val="24"/>
              </w:rPr>
              <w:t>Срок исполнения</w:t>
            </w:r>
          </w:p>
        </w:tc>
      </w:tr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1.</w:t>
            </w:r>
          </w:p>
        </w:tc>
        <w:tc>
          <w:tcPr>
            <w:tcW w:type="dxa" w:w="237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Информирование</w:t>
            </w:r>
          </w:p>
        </w:tc>
        <w:tc>
          <w:tcPr>
            <w:tcW w:type="dxa" w:w="352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5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hAnsi="Times New Roman"/>
                <w:color w:val="010101"/>
                <w:sz w:val="24"/>
              </w:rPr>
              <w:t>муниципального образования «Горшеченский район»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 в информационно-телекоммуникационной сети "Интернет" и в иных формах.</w:t>
            </w:r>
          </w:p>
          <w:p w14:paraId="56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10101"/>
                <w:sz w:val="24"/>
              </w:rPr>
              <w:t>размещает и поддерживает в актуальном состоянии на своем официальном сайте в сети «Интернет»:</w:t>
            </w:r>
          </w:p>
          <w:p w14:paraId="57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14:paraId="58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2) руководства по соблюдению обязательных требований.</w:t>
            </w:r>
          </w:p>
          <w:p w14:paraId="5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5A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5B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5) доклады, содержащие результаты обобщения </w:t>
            </w:r>
            <w:r>
              <w:rPr>
                <w:rFonts w:ascii="Times New Roman" w:hAnsi="Times New Roman"/>
                <w:color w:val="010101"/>
                <w:sz w:val="24"/>
              </w:rPr>
              <w:t>правоприменительной практики;</w:t>
            </w:r>
          </w:p>
          <w:p w14:paraId="5C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6) доклады о муниципальном контроле;</w:t>
            </w:r>
          </w:p>
          <w:p w14:paraId="5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type="dxa" w:w="1788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Администрации</w:t>
            </w:r>
          </w:p>
          <w:p w14:paraId="5F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 </w:t>
            </w:r>
          </w:p>
        </w:tc>
        <w:tc>
          <w:tcPr>
            <w:tcW w:type="dxa" w:w="1317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0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В течение года</w:t>
            </w:r>
          </w:p>
        </w:tc>
      </w:tr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1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2.</w:t>
            </w:r>
          </w:p>
        </w:tc>
        <w:tc>
          <w:tcPr>
            <w:tcW w:type="dxa" w:w="237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2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Обобщение правоприменительной практики</w:t>
            </w:r>
          </w:p>
        </w:tc>
        <w:tc>
          <w:tcPr>
            <w:tcW w:type="dxa" w:w="352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r>
              <w:rPr>
                <w:rFonts w:ascii="Times New Roman" w:hAnsi="Times New Roman"/>
                <w:color w:val="010101"/>
                <w:sz w:val="24"/>
              </w:rPr>
              <w:t>отчетным</w:t>
            </w:r>
            <w:r>
              <w:rPr>
                <w:rFonts w:ascii="Times New Roman" w:hAnsi="Times New Roman"/>
                <w:color w:val="010101"/>
                <w:sz w:val="24"/>
              </w:rPr>
              <w:t>, подлежит публичному обсуждению.</w:t>
            </w:r>
          </w:p>
          <w:p w14:paraId="6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«Горшеченский район» 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type="dxa" w:w="1788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5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Администрации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 </w:t>
            </w:r>
          </w:p>
        </w:tc>
        <w:tc>
          <w:tcPr>
            <w:tcW w:type="dxa" w:w="1317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1 раз в год</w:t>
            </w:r>
          </w:p>
        </w:tc>
      </w:tr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3.</w:t>
            </w:r>
          </w:p>
        </w:tc>
        <w:tc>
          <w:tcPr>
            <w:tcW w:type="dxa" w:w="237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Объявление предостережения</w:t>
            </w:r>
          </w:p>
        </w:tc>
        <w:tc>
          <w:tcPr>
            <w:tcW w:type="dxa" w:w="352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9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14:paraId="6A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Контролируемое лицо вправе после получения предостережения о 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недопустимости нарушения обязательных требований подать в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Администрацию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Администрацией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type="dxa" w:w="1788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Администрации</w:t>
            </w:r>
          </w:p>
        </w:tc>
        <w:tc>
          <w:tcPr>
            <w:tcW w:type="dxa" w:w="1317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В течение года</w:t>
            </w:r>
          </w:p>
        </w:tc>
      </w:tr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D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4.</w:t>
            </w:r>
          </w:p>
        </w:tc>
        <w:tc>
          <w:tcPr>
            <w:tcW w:type="dxa" w:w="237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E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Консультирование</w:t>
            </w:r>
          </w:p>
        </w:tc>
        <w:tc>
          <w:tcPr>
            <w:tcW w:type="dxa" w:w="352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F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10101"/>
                <w:sz w:val="24"/>
              </w:rPr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70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Консультирование, осуществляется по следующим вопросам:</w:t>
            </w:r>
          </w:p>
          <w:p w14:paraId="71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 ;</w:t>
            </w:r>
          </w:p>
          <w:p w14:paraId="7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73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- компетенция уполномоченного органа;</w:t>
            </w:r>
          </w:p>
          <w:p w14:paraId="74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- порядок обжалования действий (бездействия) муниципальных </w:t>
            </w:r>
            <w:r>
              <w:rPr>
                <w:rFonts w:ascii="Times New Roman" w:hAnsi="Times New Roman"/>
                <w:color w:val="010101"/>
                <w:sz w:val="24"/>
              </w:rPr>
              <w:t>инспекторов.</w:t>
            </w:r>
          </w:p>
          <w:p w14:paraId="75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«Горшеченский район» </w:t>
            </w:r>
            <w:r>
              <w:rPr>
                <w:rFonts w:ascii="Times New Roman" w:hAnsi="Times New Roman"/>
                <w:color w:val="010101"/>
                <w:sz w:val="24"/>
              </w:rPr>
              <w:t xml:space="preserve"> в информационно-телекоммуникационной сети «Интернет» письменного разъяснения, подписанного уполномоченным должностным лицом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Администрации</w:t>
            </w:r>
            <w:r>
              <w:rPr>
                <w:rFonts w:ascii="Times New Roman" w:hAnsi="Times New Roman"/>
                <w:color w:val="010101"/>
                <w:sz w:val="24"/>
              </w:rPr>
              <w:t>.</w:t>
            </w:r>
          </w:p>
        </w:tc>
        <w:tc>
          <w:tcPr>
            <w:tcW w:type="dxa" w:w="1788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6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 xml:space="preserve">Должностные лица </w:t>
            </w:r>
            <w:r>
              <w:rPr>
                <w:rFonts w:ascii="Times New Roman" w:hAnsi="Times New Roman"/>
                <w:color w:val="010101"/>
                <w:sz w:val="24"/>
              </w:rPr>
              <w:t>Администрации</w:t>
            </w:r>
          </w:p>
        </w:tc>
        <w:tc>
          <w:tcPr>
            <w:tcW w:type="dxa" w:w="1317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7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  <w:r>
              <w:rPr>
                <w:rFonts w:ascii="Times New Roman" w:hAnsi="Times New Roman"/>
                <w:color w:val="010101"/>
                <w:sz w:val="24"/>
              </w:rPr>
              <w:t>В течение года</w:t>
            </w:r>
          </w:p>
        </w:tc>
      </w:tr>
      <w:tr>
        <w:tc>
          <w:tcPr>
            <w:tcW w:type="dxa" w:w="35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8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</w:p>
        </w:tc>
        <w:tc>
          <w:tcPr>
            <w:tcW w:type="dxa" w:w="2372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9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</w:p>
        </w:tc>
        <w:tc>
          <w:tcPr>
            <w:tcW w:type="dxa" w:w="3524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A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10101"/>
                <w:sz w:val="24"/>
              </w:rPr>
            </w:pPr>
          </w:p>
        </w:tc>
        <w:tc>
          <w:tcPr>
            <w:tcW w:type="dxa" w:w="1788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B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</w:p>
        </w:tc>
        <w:tc>
          <w:tcPr>
            <w:tcW w:type="dxa" w:w="1317"/>
            <w:tcBorders>
              <w:top w:color="BBBBBB" w:sz="4" w:val="single"/>
              <w:left w:color="BBBBBB" w:sz="4" w:val="single"/>
              <w:bottom w:color="BBBBBB" w:sz="4" w:val="single"/>
              <w:right w:color="BBBBBB" w:sz="4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C000000">
            <w:pPr>
              <w:spacing w:afterAutospacing="on" w:beforeAutospacing="on" w:line="240" w:lineRule="auto"/>
              <w:ind/>
              <w:jc w:val="center"/>
              <w:rPr>
                <w:rFonts w:ascii="Times New Roman" w:hAnsi="Times New Roman"/>
                <w:color w:val="010101"/>
                <w:sz w:val="24"/>
              </w:rPr>
            </w:pPr>
          </w:p>
        </w:tc>
      </w:tr>
    </w:tbl>
    <w:p w14:paraId="7D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basedOn w:val="Style_2"/>
    <w:link w:val="Style_8_ch"/>
    <w:uiPriority w:val="9"/>
    <w:qFormat/>
    <w:pPr>
      <w:spacing w:afterAutospacing="on" w:beforeAutospacing="on" w:line="240" w:lineRule="auto"/>
      <w:ind/>
      <w:outlineLvl w:val="2"/>
    </w:pPr>
    <w:rPr>
      <w:rFonts w:ascii="Times New Roman" w:hAnsi="Times New Roman"/>
      <w:b w:val="1"/>
      <w:sz w:val="27"/>
    </w:rPr>
  </w:style>
  <w:style w:styleId="Style_8_ch" w:type="character">
    <w:name w:val="heading 3"/>
    <w:basedOn w:val="Style_2_ch"/>
    <w:link w:val="Style_8"/>
    <w:rPr>
      <w:rFonts w:ascii="Times New Roman" w:hAnsi="Times New Roman"/>
      <w:b w:val="1"/>
      <w:sz w:val="27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Normal (Web)"/>
    <w:basedOn w:val="Style_2"/>
    <w:link w:val="Style_1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0_ch" w:type="character">
    <w:name w:val="Normal (Web)"/>
    <w:basedOn w:val="Style_2_ch"/>
    <w:link w:val="Style_10"/>
    <w:rPr>
      <w:rFonts w:ascii="Times New Roman" w:hAnsi="Times New Roman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2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basedOn w:val="Style_7"/>
    <w:link w:val="Style_13_ch"/>
    <w:rPr>
      <w:color w:val="0000FF"/>
      <w:u w:val="single"/>
    </w:rPr>
  </w:style>
  <w:style w:styleId="Style_13_ch" w:type="character">
    <w:name w:val="Hyperlink"/>
    <w:basedOn w:val="Style_7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2"/>
    <w:link w:val="Style_23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3_ch" w:type="character">
    <w:name w:val="heading 2"/>
    <w:basedOn w:val="Style_2_ch"/>
    <w:link w:val="Style_23"/>
    <w:rPr>
      <w:rFonts w:ascii="Times New Roman" w:hAnsi="Times New Roman"/>
      <w:b w:val="1"/>
      <w:sz w:val="3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2022-10-03T13:41:03Z</dcterms:modified>
</cp:coreProperties>
</file>