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21" w:rsidRDefault="00AE1E21" w:rsidP="00FE4130"/>
    <w:p w:rsidR="00FE4130" w:rsidRDefault="00FE4130" w:rsidP="00FE4130"/>
    <w:p w:rsidR="00FE4130" w:rsidRDefault="00FE4130" w:rsidP="00FE4130"/>
    <w:p w:rsidR="00FE4130" w:rsidRDefault="00FE4130" w:rsidP="00FE4130">
      <w:pPr>
        <w:pStyle w:val="1"/>
        <w:shd w:val="clear" w:color="auto" w:fill="F2F4F4"/>
        <w:rPr>
          <w:rFonts w:ascii="Tahoma" w:hAnsi="Tahoma" w:cs="Tahoma"/>
        </w:rPr>
      </w:pPr>
      <w:r>
        <w:rPr>
          <w:rFonts w:ascii="Tahoma" w:hAnsi="Tahoma" w:cs="Tahoma"/>
        </w:rPr>
        <w:t>Вы выбрали патентную систему налогообложения</w:t>
      </w:r>
    </w:p>
    <w:p w:rsidR="00FE4130" w:rsidRDefault="00FE4130" w:rsidP="00FE4130">
      <w:pPr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br/>
        <w:t xml:space="preserve">Специальный налоговый режим для индивидуальных предпринимателей, осуществляющих определенные виды деятельности </w:t>
      </w:r>
    </w:p>
    <w:p w:rsidR="00FE4130" w:rsidRDefault="00FE4130" w:rsidP="00FE4130">
      <w:pPr>
        <w:pStyle w:val="3"/>
        <w:shd w:val="clear" w:color="auto" w:fill="F2F4F4"/>
        <w:rPr>
          <w:rFonts w:ascii="Tahoma" w:hAnsi="Tahoma" w:cs="Tahoma"/>
          <w:color w:val="505050"/>
        </w:rPr>
      </w:pPr>
      <w:r>
        <w:rPr>
          <w:rFonts w:ascii="Tahoma" w:hAnsi="Tahoma" w:cs="Tahoma"/>
          <w:color w:val="505050"/>
        </w:rPr>
        <w:t xml:space="preserve">С 1 января 2013 г. порядок осуществления деятельности индивидуальными предпринимателями с применением патента регулируется новой гл. 26.5 "Патентная система налогообложения" НК РФ, которая заменила действовавшую ранее ст. 346.25.1 НК РФ. </w:t>
      </w:r>
    </w:p>
    <w:p w:rsidR="00FE4130" w:rsidRDefault="00FE4130" w:rsidP="00FE4130">
      <w:pPr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b/>
          <w:bCs/>
          <w:color w:val="4F4F4F"/>
          <w:sz w:val="14"/>
          <w:szCs w:val="14"/>
        </w:rPr>
        <w:t>Кто может стать налогоплательщиком?</w:t>
      </w:r>
      <w:r>
        <w:rPr>
          <w:rFonts w:ascii="Tahoma" w:hAnsi="Tahoma" w:cs="Tahoma"/>
          <w:color w:val="4F4F4F"/>
          <w:sz w:val="14"/>
          <w:szCs w:val="14"/>
        </w:rPr>
        <w:t xml:space="preserve"> </w:t>
      </w:r>
    </w:p>
    <w:p w:rsidR="00FE4130" w:rsidRDefault="00FE4130" w:rsidP="00FE4130">
      <w:pPr>
        <w:pStyle w:val="a3"/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t xml:space="preserve">Индивидуальные предприниматели, осуществляющие определенные виды </w:t>
      </w:r>
      <w:hyperlink r:id="rId5" w:tgtFrame="_parent" w:history="1">
        <w:r>
          <w:rPr>
            <w:rStyle w:val="a5"/>
            <w:rFonts w:ascii="Tahoma" w:hAnsi="Tahoma" w:cs="Tahoma"/>
            <w:sz w:val="14"/>
            <w:szCs w:val="14"/>
          </w:rPr>
          <w:t>предпринимательской деятельности</w:t>
        </w:r>
      </w:hyperlink>
      <w:r>
        <w:rPr>
          <w:rFonts w:ascii="Tahoma" w:hAnsi="Tahoma" w:cs="Tahoma"/>
          <w:color w:val="4F4F4F"/>
          <w:sz w:val="14"/>
          <w:szCs w:val="14"/>
        </w:rPr>
        <w:t>, указанные в НК РФ, вправе перейти на патентную систему налогообложения.</w:t>
      </w:r>
    </w:p>
    <w:p w:rsidR="00FE4130" w:rsidRDefault="00FE4130" w:rsidP="00FE4130">
      <w:pPr>
        <w:pStyle w:val="a3"/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t>При применении патентной системы налогообложения индивидуальный предприниматель вправе привлекать наемных работников</w:t>
      </w:r>
      <w:proofErr w:type="gramStart"/>
      <w:r>
        <w:rPr>
          <w:rFonts w:ascii="Tahoma" w:hAnsi="Tahoma" w:cs="Tahoma"/>
          <w:color w:val="4F4F4F"/>
          <w:sz w:val="14"/>
          <w:szCs w:val="14"/>
        </w:rPr>
        <w:t xml:space="preserve"> ,</w:t>
      </w:r>
      <w:proofErr w:type="gramEnd"/>
      <w:r>
        <w:rPr>
          <w:rFonts w:ascii="Tahoma" w:hAnsi="Tahoma" w:cs="Tahoma"/>
          <w:color w:val="4F4F4F"/>
          <w:sz w:val="14"/>
          <w:szCs w:val="14"/>
        </w:rPr>
        <w:t xml:space="preserve"> в том числе по договорам гражданско-правового характера, среднесписочная численность не должна превышать за налоговый период 15 человек.</w:t>
      </w:r>
    </w:p>
    <w:p w:rsidR="00FE4130" w:rsidRDefault="00FE4130" w:rsidP="00FE4130">
      <w:pPr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b/>
          <w:bCs/>
          <w:color w:val="4F4F4F"/>
          <w:sz w:val="14"/>
          <w:szCs w:val="14"/>
        </w:rPr>
        <w:t xml:space="preserve">Расчет стоимости патента: </w:t>
      </w:r>
    </w:p>
    <w:p w:rsidR="00FE4130" w:rsidRDefault="00FE4130" w:rsidP="00FE4130">
      <w:pPr>
        <w:pStyle w:val="a3"/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8"/>
          <w:szCs w:val="18"/>
        </w:rPr>
        <w:t xml:space="preserve">Патент выдается по выбору </w:t>
      </w:r>
      <w:hyperlink r:id="rId6" w:tgtFrame="_parent" w:history="1">
        <w:r>
          <w:rPr>
            <w:rStyle w:val="a5"/>
            <w:rFonts w:ascii="Tahoma" w:hAnsi="Tahoma" w:cs="Tahoma"/>
            <w:sz w:val="18"/>
            <w:szCs w:val="18"/>
          </w:rPr>
          <w:t>налогоплательщика</w:t>
        </w:r>
      </w:hyperlink>
      <w:r>
        <w:rPr>
          <w:rFonts w:ascii="Tahoma" w:hAnsi="Tahoma" w:cs="Tahoma"/>
          <w:color w:val="4F4F4F"/>
          <w:sz w:val="18"/>
          <w:szCs w:val="18"/>
        </w:rPr>
        <w:t xml:space="preserve"> на период от одного до 12 месяцев. Налоговым периодом считается срок, на который выдан патент.</w:t>
      </w:r>
    </w:p>
    <w:p w:rsidR="00FE4130" w:rsidRDefault="00FE4130" w:rsidP="00FE4130">
      <w:pPr>
        <w:pStyle w:val="a3"/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t xml:space="preserve">Стоимость патента определяется как 6% ставка потенциально возможного дохода от соответствующего вида деятельности, и устанавливается  на календарный год законами субъектов Российской Федерации по каждому из видов предпринимательской деятельности, по которому разрешается применение </w:t>
      </w:r>
      <w:hyperlink r:id="rId7" w:tgtFrame="_parent" w:history="1">
        <w:r>
          <w:rPr>
            <w:rStyle w:val="a5"/>
            <w:rFonts w:ascii="Tahoma" w:hAnsi="Tahoma" w:cs="Tahoma"/>
            <w:sz w:val="14"/>
            <w:szCs w:val="14"/>
          </w:rPr>
          <w:t>индивидуальными предпринимателями</w:t>
        </w:r>
      </w:hyperlink>
      <w:r>
        <w:rPr>
          <w:rFonts w:ascii="Tahoma" w:hAnsi="Tahoma" w:cs="Tahoma"/>
          <w:color w:val="4F4F4F"/>
          <w:sz w:val="14"/>
          <w:szCs w:val="14"/>
        </w:rPr>
        <w:t xml:space="preserve"> патентной системы налогообложения.</w:t>
      </w:r>
      <w:r>
        <w:rPr>
          <w:rFonts w:ascii="Tahoma" w:hAnsi="Tahoma" w:cs="Tahoma"/>
          <w:b/>
          <w:bCs/>
          <w:i/>
          <w:iCs/>
          <w:color w:val="4F4F4F"/>
          <w:sz w:val="14"/>
          <w:szCs w:val="14"/>
        </w:rPr>
        <w:t> </w:t>
      </w:r>
    </w:p>
    <w:p w:rsidR="00FE4130" w:rsidRDefault="00FE4130" w:rsidP="00FE4130">
      <w:pPr>
        <w:pStyle w:val="a3"/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b/>
          <w:bCs/>
          <w:color w:val="4F4F4F"/>
          <w:sz w:val="18"/>
          <w:szCs w:val="18"/>
        </w:rPr>
        <w:t>Сроки и порядок оплаты  патента:</w:t>
      </w:r>
    </w:p>
    <w:p w:rsidR="00FE4130" w:rsidRDefault="00FE4130" w:rsidP="00FE4130">
      <w:pPr>
        <w:pStyle w:val="a3"/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8"/>
          <w:szCs w:val="18"/>
        </w:rPr>
        <w:t>Предусмотрен разный порядок уплаты патента в различных случаях:</w:t>
      </w:r>
    </w:p>
    <w:p w:rsidR="00FE4130" w:rsidRDefault="00FE4130" w:rsidP="00FE4130">
      <w:pPr>
        <w:pStyle w:val="a3"/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8"/>
          <w:szCs w:val="18"/>
        </w:rPr>
        <w:t>1. Если  срок патента меньше шести месяцев - налог полностью уплачивается не позднее 25 календарных дней после начала действия патента. </w:t>
      </w:r>
    </w:p>
    <w:p w:rsidR="00FE4130" w:rsidRDefault="00FE4130" w:rsidP="00FE4130">
      <w:pPr>
        <w:pStyle w:val="a3"/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8"/>
          <w:szCs w:val="18"/>
        </w:rPr>
        <w:t>2. Если срок, на который выдан патент более шести месяцев - в данный срок уплачивается лишь треть суммы. Оставшуюся часть налогоплательщик перечисляет не позднее 30 календарных дней до момента окончания налогового периода. </w:t>
      </w:r>
    </w:p>
    <w:p w:rsidR="00FE4130" w:rsidRDefault="00FE4130" w:rsidP="00FE4130">
      <w:pPr>
        <w:pStyle w:val="a3"/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8"/>
          <w:szCs w:val="18"/>
        </w:rPr>
        <w:t>При этом налоговый период заканчивается в последний день действия патента либо в день досрочного прекращения предпринимательской деятельности, указанный в соответствующем заявлении (ст. 346.49 НК РФ).</w:t>
      </w:r>
    </w:p>
    <w:p w:rsidR="00FE4130" w:rsidRDefault="00FE4130" w:rsidP="00FE4130">
      <w:pPr>
        <w:pStyle w:val="a3"/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t>Налоговая декларация в налоговые органы не представляется.</w:t>
      </w:r>
    </w:p>
    <w:p w:rsidR="00FE4130" w:rsidRDefault="00FE4130" w:rsidP="00FE4130">
      <w:pPr>
        <w:pStyle w:val="a3"/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t>При нарушении условий применения патентной системы налогообложения, а также при неоплате (неполной оплате) стоимости патента в установленный срок, индивидуальный предприниматель теряет право на применение патентной системы налогообложения  </w:t>
      </w:r>
      <w:r>
        <w:rPr>
          <w:rFonts w:ascii="Tahoma" w:hAnsi="Tahoma" w:cs="Tahoma"/>
          <w:color w:val="4F4F4F"/>
          <w:sz w:val="18"/>
          <w:szCs w:val="18"/>
        </w:rPr>
        <w:t>и перешедшим на общий режим с начала налогового периода.</w:t>
      </w:r>
    </w:p>
    <w:p w:rsidR="00FE4130" w:rsidRDefault="00FE4130" w:rsidP="00FE4130">
      <w:pPr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i/>
          <w:iCs/>
          <w:color w:val="4F4F4F"/>
          <w:sz w:val="18"/>
          <w:szCs w:val="18"/>
          <w:u w:val="single"/>
        </w:rPr>
        <w:t>Преимущества:</w:t>
      </w:r>
      <w:r>
        <w:rPr>
          <w:rFonts w:ascii="Tahoma" w:hAnsi="Tahoma" w:cs="Tahoma"/>
          <w:color w:val="4F4F4F"/>
          <w:sz w:val="14"/>
          <w:szCs w:val="14"/>
        </w:rPr>
        <w:t xml:space="preserve"> </w:t>
      </w:r>
    </w:p>
    <w:p w:rsidR="00FE4130" w:rsidRDefault="00FE4130" w:rsidP="00FE4130">
      <w:pPr>
        <w:pStyle w:val="a3"/>
        <w:numPr>
          <w:ilvl w:val="0"/>
          <w:numId w:val="2"/>
        </w:numPr>
        <w:shd w:val="clear" w:color="auto" w:fill="F2F4F4"/>
        <w:spacing w:before="0" w:beforeAutospacing="0" w:after="240" w:afterAutospacing="0"/>
        <w:ind w:left="360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t>низкая ставка налога;</w:t>
      </w:r>
    </w:p>
    <w:p w:rsidR="00FE4130" w:rsidRDefault="00FE4130" w:rsidP="00FE4130">
      <w:pPr>
        <w:pStyle w:val="a3"/>
        <w:numPr>
          <w:ilvl w:val="0"/>
          <w:numId w:val="2"/>
        </w:numPr>
        <w:shd w:val="clear" w:color="auto" w:fill="F2F4F4"/>
        <w:spacing w:before="0" w:beforeAutospacing="0" w:after="240" w:afterAutospacing="0"/>
        <w:ind w:left="360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t xml:space="preserve">отсутствие необходимости подавать </w:t>
      </w:r>
      <w:hyperlink r:id="rId8" w:tgtFrame="_parent" w:history="1">
        <w:r>
          <w:rPr>
            <w:rStyle w:val="a5"/>
            <w:rFonts w:ascii="Tahoma" w:hAnsi="Tahoma" w:cs="Tahoma"/>
            <w:sz w:val="14"/>
            <w:szCs w:val="14"/>
          </w:rPr>
          <w:t>налоговые декларации</w:t>
        </w:r>
      </w:hyperlink>
      <w:r>
        <w:rPr>
          <w:rFonts w:ascii="Tahoma" w:hAnsi="Tahoma" w:cs="Tahoma"/>
          <w:color w:val="4F4F4F"/>
          <w:sz w:val="14"/>
          <w:szCs w:val="14"/>
        </w:rPr>
        <w:t>;</w:t>
      </w:r>
    </w:p>
    <w:p w:rsidR="00FE4130" w:rsidRDefault="00FE4130" w:rsidP="00FE4130">
      <w:pPr>
        <w:pStyle w:val="a3"/>
        <w:numPr>
          <w:ilvl w:val="0"/>
          <w:numId w:val="2"/>
        </w:numPr>
        <w:shd w:val="clear" w:color="auto" w:fill="F2F4F4"/>
        <w:spacing w:before="0" w:beforeAutospacing="0" w:after="240" w:afterAutospacing="0"/>
        <w:ind w:left="360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t>наиболее легкий способ ведения налогового учета;</w:t>
      </w:r>
    </w:p>
    <w:p w:rsidR="00FE4130" w:rsidRDefault="00FE4130" w:rsidP="00FE4130">
      <w:pPr>
        <w:pStyle w:val="a3"/>
        <w:numPr>
          <w:ilvl w:val="0"/>
          <w:numId w:val="2"/>
        </w:numPr>
        <w:shd w:val="clear" w:color="auto" w:fill="F2F4F4"/>
        <w:spacing w:before="0" w:beforeAutospacing="0" w:after="240" w:afterAutospacing="0"/>
        <w:ind w:left="360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t xml:space="preserve">практически полное отсутствие </w:t>
      </w:r>
      <w:hyperlink r:id="rId9" w:tgtFrame="_parent" w:history="1">
        <w:r>
          <w:rPr>
            <w:rStyle w:val="a5"/>
            <w:rFonts w:ascii="Tahoma" w:hAnsi="Tahoma" w:cs="Tahoma"/>
            <w:sz w:val="14"/>
            <w:szCs w:val="14"/>
          </w:rPr>
          <w:t>выездных налоговых проверок</w:t>
        </w:r>
      </w:hyperlink>
      <w:r>
        <w:rPr>
          <w:rFonts w:ascii="Tahoma" w:hAnsi="Tahoma" w:cs="Tahoma"/>
          <w:color w:val="4F4F4F"/>
          <w:sz w:val="14"/>
          <w:szCs w:val="14"/>
        </w:rPr>
        <w:t>;</w:t>
      </w:r>
    </w:p>
    <w:p w:rsidR="00FE4130" w:rsidRDefault="00FE4130" w:rsidP="00FE4130">
      <w:pPr>
        <w:pStyle w:val="a3"/>
        <w:shd w:val="clear" w:color="auto" w:fill="F2F4F4"/>
        <w:rPr>
          <w:rFonts w:ascii="Tahoma" w:hAnsi="Tahoma" w:cs="Tahoma"/>
          <w:i/>
          <w:iCs/>
          <w:color w:val="4F4F4F"/>
          <w:sz w:val="14"/>
          <w:szCs w:val="14"/>
          <w:u w:val="single"/>
        </w:rPr>
      </w:pPr>
      <w:r>
        <w:rPr>
          <w:rFonts w:ascii="Tahoma" w:hAnsi="Tahoma" w:cs="Tahoma"/>
          <w:i/>
          <w:iCs/>
          <w:color w:val="4F4F4F"/>
          <w:sz w:val="14"/>
          <w:szCs w:val="14"/>
          <w:u w:val="single"/>
        </w:rPr>
        <w:t>Особенности:</w:t>
      </w:r>
    </w:p>
    <w:p w:rsidR="00FE4130" w:rsidRDefault="00FE4130" w:rsidP="00FE4130">
      <w:pPr>
        <w:pStyle w:val="a3"/>
        <w:numPr>
          <w:ilvl w:val="0"/>
          <w:numId w:val="3"/>
        </w:numPr>
        <w:shd w:val="clear" w:color="auto" w:fill="F2F4F4"/>
        <w:spacing w:before="0" w:beforeAutospacing="0" w:after="240" w:afterAutospacing="0"/>
        <w:ind w:left="360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t>может использоваться только индивидуальными предпринимателями;</w:t>
      </w:r>
    </w:p>
    <w:p w:rsidR="00FE4130" w:rsidRDefault="00FE4130" w:rsidP="00FE4130">
      <w:pPr>
        <w:pStyle w:val="a3"/>
        <w:numPr>
          <w:ilvl w:val="0"/>
          <w:numId w:val="3"/>
        </w:numPr>
        <w:shd w:val="clear" w:color="auto" w:fill="F2F4F4"/>
        <w:spacing w:before="0" w:beforeAutospacing="0" w:after="240" w:afterAutospacing="0"/>
        <w:ind w:left="360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t xml:space="preserve">существенное ограничение количества наемных работников (до 5 человек) </w:t>
      </w:r>
    </w:p>
    <w:p w:rsidR="00FE4130" w:rsidRDefault="00FE4130" w:rsidP="00FE4130">
      <w:pPr>
        <w:pStyle w:val="a3"/>
        <w:numPr>
          <w:ilvl w:val="0"/>
          <w:numId w:val="3"/>
        </w:numPr>
        <w:shd w:val="clear" w:color="auto" w:fill="F2F4F4"/>
        <w:spacing w:before="0" w:beforeAutospacing="0" w:after="240" w:afterAutospacing="0"/>
        <w:ind w:left="360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t>существенное ограничение видов деятельности, осуществляя которые предприниматель может перейти на УСН на основе патента;</w:t>
      </w:r>
    </w:p>
    <w:p w:rsidR="00FE4130" w:rsidRDefault="00FE4130" w:rsidP="00FE4130">
      <w:pPr>
        <w:pStyle w:val="a3"/>
        <w:numPr>
          <w:ilvl w:val="0"/>
          <w:numId w:val="3"/>
        </w:numPr>
        <w:shd w:val="clear" w:color="auto" w:fill="F2F4F4"/>
        <w:spacing w:before="0" w:beforeAutospacing="0" w:after="240" w:afterAutospacing="0"/>
        <w:ind w:left="360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color w:val="4F4F4F"/>
          <w:sz w:val="14"/>
          <w:szCs w:val="14"/>
        </w:rPr>
        <w:lastRenderedPageBreak/>
        <w:t>наличие обязанности ведения учета доходов</w:t>
      </w:r>
    </w:p>
    <w:p w:rsidR="00FE4130" w:rsidRDefault="00FE4130" w:rsidP="00FE4130">
      <w:pPr>
        <w:shd w:val="clear" w:color="auto" w:fill="F2F4F4"/>
        <w:rPr>
          <w:rFonts w:ascii="Tahoma" w:hAnsi="Tahoma" w:cs="Tahoma"/>
          <w:color w:val="4F4F4F"/>
          <w:sz w:val="14"/>
          <w:szCs w:val="14"/>
        </w:rPr>
      </w:pPr>
      <w:r>
        <w:rPr>
          <w:rFonts w:ascii="Tahoma" w:hAnsi="Tahoma" w:cs="Tahoma"/>
          <w:b/>
          <w:bCs/>
          <w:color w:val="4F4F4F"/>
          <w:sz w:val="14"/>
          <w:szCs w:val="14"/>
        </w:rPr>
        <w:t>ОБРАТИТЕ ВНИМАНИЕ!</w:t>
      </w:r>
      <w:r>
        <w:rPr>
          <w:rFonts w:ascii="Tahoma" w:hAnsi="Tahoma" w:cs="Tahoma"/>
          <w:color w:val="4F4F4F"/>
          <w:sz w:val="14"/>
          <w:szCs w:val="14"/>
        </w:rPr>
        <w:t xml:space="preserve"> В настоящее время на рассмотрении в Государственной Думе находится </w:t>
      </w:r>
      <w:hyperlink r:id="rId10" w:tgtFrame="_blank" w:history="1">
        <w:r>
          <w:rPr>
            <w:rStyle w:val="a5"/>
            <w:rFonts w:ascii="Tahoma" w:hAnsi="Tahoma" w:cs="Tahoma"/>
            <w:sz w:val="14"/>
            <w:szCs w:val="14"/>
          </w:rPr>
          <w:t>проект федерального закона № 499566-5 «О внесении изменений в статью 18 части первой, часть вторую Налогового кодекса Российской Федерации, некоторые законодательные акты Российской Федерации и признании утратившими силу некоторых законодательных актов (положений законодательных актов) Российской Федерации»</w:t>
        </w:r>
      </w:hyperlink>
      <w:r>
        <w:rPr>
          <w:rFonts w:ascii="Tahoma" w:hAnsi="Tahoma" w:cs="Tahoma"/>
          <w:color w:val="4F4F4F"/>
          <w:sz w:val="14"/>
          <w:szCs w:val="14"/>
        </w:rPr>
        <w:t xml:space="preserve"> (принят в первом чтении 17 мая). Ключевой момент – помимо отмены ЕНВД с 1 января 2014 года, законопроект содержит меры по совершенствованию условий применения патента:</w:t>
      </w:r>
      <w:r>
        <w:rPr>
          <w:rFonts w:ascii="Tahoma" w:hAnsi="Tahoma" w:cs="Tahoma"/>
          <w:color w:val="4F4F4F"/>
          <w:sz w:val="14"/>
          <w:szCs w:val="14"/>
        </w:rPr>
        <w:br/>
      </w:r>
      <w:r>
        <w:rPr>
          <w:rFonts w:ascii="Tahoma" w:hAnsi="Tahoma" w:cs="Tahoma"/>
          <w:color w:val="4F4F4F"/>
          <w:sz w:val="14"/>
          <w:szCs w:val="14"/>
        </w:rPr>
        <w:br/>
        <w:t>- патентная система налогообложения вводится как самостоятельный налоговый режим (сейчас является разновидностью УСН);</w:t>
      </w:r>
      <w:r>
        <w:rPr>
          <w:rFonts w:ascii="Tahoma" w:hAnsi="Tahoma" w:cs="Tahoma"/>
          <w:color w:val="4F4F4F"/>
          <w:sz w:val="14"/>
          <w:szCs w:val="14"/>
        </w:rPr>
        <w:br/>
      </w:r>
      <w:r>
        <w:rPr>
          <w:rFonts w:ascii="Tahoma" w:hAnsi="Tahoma" w:cs="Tahoma"/>
          <w:color w:val="4F4F4F"/>
          <w:sz w:val="14"/>
          <w:szCs w:val="14"/>
        </w:rPr>
        <w:br/>
        <w:t>- с 5 до 10 человек увеличивается средняя численность наемных работников, которых вправе привлекать индивидуальный предприниматель при применении патентной системы налогообложения;</w:t>
      </w:r>
      <w:r>
        <w:rPr>
          <w:rFonts w:ascii="Tahoma" w:hAnsi="Tahoma" w:cs="Tahoma"/>
          <w:color w:val="4F4F4F"/>
          <w:sz w:val="14"/>
          <w:szCs w:val="14"/>
        </w:rPr>
        <w:br/>
      </w:r>
      <w:r>
        <w:rPr>
          <w:rFonts w:ascii="Tahoma" w:hAnsi="Tahoma" w:cs="Tahoma"/>
          <w:color w:val="4F4F4F"/>
          <w:sz w:val="14"/>
          <w:szCs w:val="14"/>
        </w:rPr>
        <w:br/>
        <w:t>- уточняется перечень видов деятельности, при осуществлении которых индивидуальных предприниматель вправе использовать патент (в частности, впервые включены объекты нестационарной торговой сети, а также розничная торговля, осуществляемая через объекты стационарной торговой сети с площадью торгового зала не более 10 квадратных метров, и  объекты стационарной торговой сети, не имеющей торговых залов) и др.</w:t>
      </w:r>
    </w:p>
    <w:p w:rsidR="00FE4130" w:rsidRPr="00FE4130" w:rsidRDefault="00FE4130" w:rsidP="00FE4130"/>
    <w:sectPr w:rsidR="00FE4130" w:rsidRPr="00FE4130" w:rsidSect="004832B2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D33"/>
    <w:multiLevelType w:val="multilevel"/>
    <w:tmpl w:val="8E1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21091"/>
    <w:multiLevelType w:val="multilevel"/>
    <w:tmpl w:val="8FA4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B4DA2"/>
    <w:multiLevelType w:val="multilevel"/>
    <w:tmpl w:val="FC40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919"/>
    <w:rsid w:val="001D191F"/>
    <w:rsid w:val="00375919"/>
    <w:rsid w:val="00427B27"/>
    <w:rsid w:val="00480195"/>
    <w:rsid w:val="0087444C"/>
    <w:rsid w:val="00AE1E21"/>
    <w:rsid w:val="00CC44CB"/>
    <w:rsid w:val="00DE42D3"/>
    <w:rsid w:val="00FE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4130"/>
    <w:pPr>
      <w:spacing w:before="100" w:beforeAutospacing="1" w:after="240" w:line="288" w:lineRule="atLeast"/>
      <w:outlineLvl w:val="0"/>
    </w:pPr>
    <w:rPr>
      <w:color w:val="1F6190"/>
      <w:kern w:val="36"/>
      <w:sz w:val="34"/>
      <w:szCs w:val="34"/>
    </w:rPr>
  </w:style>
  <w:style w:type="paragraph" w:styleId="3">
    <w:name w:val="heading 3"/>
    <w:basedOn w:val="a"/>
    <w:link w:val="30"/>
    <w:uiPriority w:val="9"/>
    <w:qFormat/>
    <w:rsid w:val="00FE4130"/>
    <w:pPr>
      <w:spacing w:before="100" w:beforeAutospacing="1" w:after="240" w:line="288" w:lineRule="atLeast"/>
      <w:outlineLvl w:val="2"/>
    </w:pPr>
    <w:rPr>
      <w:color w:val="1F61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5919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75919"/>
    <w:rPr>
      <w:b/>
      <w:bCs/>
    </w:rPr>
  </w:style>
  <w:style w:type="character" w:customStyle="1" w:styleId="apple-converted-space">
    <w:name w:val="apple-converted-space"/>
    <w:basedOn w:val="a0"/>
    <w:uiPriority w:val="99"/>
    <w:rsid w:val="00375919"/>
  </w:style>
  <w:style w:type="character" w:styleId="a5">
    <w:name w:val="Hyperlink"/>
    <w:basedOn w:val="a0"/>
    <w:uiPriority w:val="99"/>
    <w:rsid w:val="003759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130"/>
    <w:rPr>
      <w:rFonts w:ascii="Times New Roman" w:eastAsia="Times New Roman" w:hAnsi="Times New Roman" w:cs="Times New Roman"/>
      <w:color w:val="1F6190"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130"/>
    <w:rPr>
      <w:rFonts w:ascii="Times New Roman" w:eastAsia="Times New Roman" w:hAnsi="Times New Roman" w:cs="Times New Roman"/>
      <w:color w:val="1F619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6092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D7D7D7"/>
                      </w:divBdr>
                      <w:divsChild>
                        <w:div w:id="1351689275">
                          <w:marLeft w:val="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6154">
                              <w:marLeft w:val="3"/>
                              <w:marRight w:val="360"/>
                              <w:marTop w:val="12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smb.economy.gov.ru/glossary/t7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smb.economy.gov.ru/glossary/t77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smb.economy.gov.ru/glossary/t23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ldsmb.economy.gov.ru/glossary/t640/" TargetMode="External"/><Relationship Id="rId10" Type="http://schemas.openxmlformats.org/officeDocument/2006/relationships/hyperlink" Target="http://oldsmb.economy.gov.ru/content/legislation/projects/finance_/m,f,3130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smb.economy.gov.ru/glossary/t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3961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6</cp:revision>
  <dcterms:created xsi:type="dcterms:W3CDTF">2017-12-05T08:27:00Z</dcterms:created>
  <dcterms:modified xsi:type="dcterms:W3CDTF">2017-12-11T12:06:00Z</dcterms:modified>
</cp:coreProperties>
</file>