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3" w:type="dxa"/>
        <w:tblInd w:w="98" w:type="dxa"/>
        <w:tblLayout w:type="fixed"/>
        <w:tblLook w:val="04A0"/>
      </w:tblPr>
      <w:tblGrid>
        <w:gridCol w:w="680"/>
        <w:gridCol w:w="4433"/>
        <w:gridCol w:w="993"/>
        <w:gridCol w:w="1050"/>
        <w:gridCol w:w="992"/>
        <w:gridCol w:w="992"/>
        <w:gridCol w:w="992"/>
        <w:gridCol w:w="932"/>
        <w:gridCol w:w="769"/>
        <w:gridCol w:w="3770"/>
      </w:tblGrid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Утверждена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постановлением</w:t>
            </w: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Правительства</w:t>
            </w: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Российской Федерации</w:t>
            </w: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от 17 декабря 2012 г. № 1317</w:t>
            </w: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Доклад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главы Администрации Горшеченского р-на Курской области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о достигнутых значениях показателей для оценки эффективности 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деятельности органов местного  самоуправления городских округов 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и муниципальных районов за  2015  год и их планируемых 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значениях</w:t>
            </w:r>
            <w:proofErr w:type="gramEnd"/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 3-ий период</w:t>
            </w: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I. Показатели 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эффективности деятельности органов местного</w:t>
            </w: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 w:type="page"/>
              <w:t>самоуправления Администрации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Горшеченского р-на Курской области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5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7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Отчетная информация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Примечание</w:t>
            </w:r>
          </w:p>
        </w:tc>
      </w:tr>
      <w:tr w:rsidR="00F74A8A" w:rsidRPr="00F74A8A" w:rsidTr="00F74A8A">
        <w:trPr>
          <w:trHeight w:val="276"/>
        </w:trPr>
        <w:tc>
          <w:tcPr>
            <w:tcW w:w="5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I. Экономическое развитие</w:t>
            </w:r>
          </w:p>
        </w:tc>
      </w:tr>
      <w:tr w:rsidR="00F74A8A" w:rsidRPr="00F74A8A" w:rsidTr="00F74A8A">
        <w:trPr>
          <w:trHeight w:val="15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Число субъектов малого и среднего предпринимательства в расчете на 10 тыс. человек 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единиц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На территории района зарегистрировано 353 субъекта малого и среднего предпринимательства, из них 89 юридических лиц и 268 индивидуальных предпринимателей</w:t>
            </w:r>
          </w:p>
        </w:tc>
      </w:tr>
      <w:tr w:rsidR="00F74A8A" w:rsidRPr="00F74A8A" w:rsidTr="00F74A8A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Среднесписочная численность работников малых и средних предприятий составляет 1425 человек.</w:t>
            </w:r>
          </w:p>
        </w:tc>
      </w:tr>
      <w:tr w:rsidR="00F74A8A" w:rsidRPr="00F74A8A" w:rsidTr="00F74A8A">
        <w:trPr>
          <w:trHeight w:val="21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Объем инвестиций в основной капитал (за исключением бюджетных средств) в расчете  на 1 жителя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187905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31813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37089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41923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Объем инвестиций в основной капитал  в 2015 году в расчете на одного жителя составил 19876 рублей. Уменьшение показателя в сравнении с 2014 годом в 3,9 раза обусловлено завершением  строительства объектов первой очереди крупного птицеводческого комплекс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а ООО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"Белая птица- Курск"</w:t>
            </w:r>
          </w:p>
        </w:tc>
      </w:tr>
      <w:tr w:rsidR="00F74A8A" w:rsidRPr="00F74A8A" w:rsidTr="00F74A8A">
        <w:trPr>
          <w:trHeight w:val="26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Доля площади земельных участков, являющихся объектами налогообложения земельным налогом, в общей площади территории района увеличивается за счет ввода в оборот земельных участков государственная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собственность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на которые не разграничена, а также за счет оформления невостребованных земельных долей</w:t>
            </w:r>
          </w:p>
        </w:tc>
      </w:tr>
      <w:tr w:rsidR="00F74A8A" w:rsidRPr="00F74A8A" w:rsidTr="00F74A8A">
        <w:trPr>
          <w:trHeight w:val="369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Доля прибыльных сельскохозяйственных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организаций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в общем их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Агропромышленный комплекс района представлен 9-ю сельскохозяйственными предприятиями. В 2015 году данный показатель составил 88,9 %. С прибылью закончили год 8 предприятий и 1 предприятие ООО «Белая птица-Курск» получило отрицательный финансовый результат. Прибыль составила 151201 тыс. рублей, убыток 14153 тыс. рублей. В ближайшей перспективе (2016-2018 гг.) сельхозпредприятиями отрицательного финансового результата не планируется</w:t>
            </w:r>
          </w:p>
        </w:tc>
      </w:tr>
      <w:tr w:rsidR="00F74A8A" w:rsidRPr="00F74A8A" w:rsidTr="00F74A8A">
        <w:trPr>
          <w:trHeight w:val="15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Снижение показателя обусловлено проведением текущих ремонтов автомобильных дорог общего пользования, а также в 2015 году было построено 9,85 км дорог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с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щебеночным покрытием и 1 км с твердым покрытием</w:t>
            </w:r>
          </w:p>
        </w:tc>
      </w:tr>
      <w:tr w:rsidR="00F74A8A" w:rsidRPr="00F74A8A" w:rsidTr="00F74A8A">
        <w:trPr>
          <w:trHeight w:val="18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Показатель уменьшился в связи с открытием в 2015 году дополнительных  маршрутов </w:t>
            </w:r>
          </w:p>
        </w:tc>
      </w:tr>
      <w:tr w:rsidR="00F74A8A" w:rsidRPr="00F74A8A" w:rsidTr="00F74A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</w:tr>
      <w:tr w:rsidR="00F74A8A" w:rsidRPr="00F74A8A" w:rsidTr="00F74A8A">
        <w:trPr>
          <w:trHeight w:val="23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8.1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    крупных и средних предприятий и </w:t>
            </w: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    некоммерческих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22360,6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23771,1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24125,6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24583,7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25048,5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В 2015 году рост составил 107,9%  к уровню прошлого года. Увеличение за счет того, что на территории района осуществляют свою деятельность сельскохозяйственные предприятия и птицеводческий комплекс ООО "Белая птица Курск", а также  выполнением отраслевых целевых показателей во внебюджетном секторе экономики.</w:t>
            </w:r>
          </w:p>
        </w:tc>
      </w:tr>
      <w:tr w:rsidR="00F74A8A" w:rsidRPr="00F74A8A" w:rsidTr="00F74A8A">
        <w:trPr>
          <w:trHeight w:val="23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8.2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    муниципальных дошкольных образовательных</w:t>
            </w: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   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13782,3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14191,8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14350,2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14897,5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В соответствии с реализацией мероприятий Указа Президента РФ № 597 от 07.05.2012 г. "О мероприятиях по реализации государственной социальной политики" среднемесячная номинальная начисленная заработная плата  работников муниципальных дошкольных образовательных учреждений увеличивается.</w:t>
            </w:r>
          </w:p>
        </w:tc>
      </w:tr>
      <w:tr w:rsidR="00F74A8A" w:rsidRPr="00F74A8A" w:rsidTr="00F74A8A">
        <w:trPr>
          <w:trHeight w:val="23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8.3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    муниципальных общеобразовательных </w:t>
            </w: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   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15951,3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18254,9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18625,4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18986,5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19125,3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В соответствии с реализацией мероприятий Указа Президента РФ № 597 от 07.05.2012 г. "О мероприятиях по реализации государственной социальной политики" среднемесячная номинальная начисленная заработная плата  работников муниципальных образовательных учреждений увеличивается.</w:t>
            </w:r>
          </w:p>
        </w:tc>
      </w:tr>
      <w:tr w:rsidR="00F74A8A" w:rsidRPr="00F74A8A" w:rsidTr="00F74A8A">
        <w:trPr>
          <w:trHeight w:val="10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8.4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    учителей муниципальных   </w:t>
            </w: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    общеобразовательных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21047,3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24185,9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23800,8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23850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24120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Уменьшение показателя произошло за счет увеличения дней нетрудоспособности  (больничные листы)</w:t>
            </w:r>
          </w:p>
        </w:tc>
      </w:tr>
      <w:tr w:rsidR="00F74A8A" w:rsidRPr="00F74A8A" w:rsidTr="00F74A8A">
        <w:trPr>
          <w:trHeight w:val="21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8.5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    муниципальных учреждений культуры и </w:t>
            </w: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    искусства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14189,3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16718,8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16707,4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16986,5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17126,8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17567,4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Уменьшение показателя объясняется изменением среднемесячной начисленной заработной платы наемных работников в организациях и индивидуальных предпринимателей  и физических лиц в Курской области от среднемесячной заработной платы в целом в экономике области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8.6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    муниципальных учреждений физической </w:t>
            </w: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br/>
              <w:t xml:space="preserve">    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14506,7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13912,5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14750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Уменьшение показателя связано с уменьшением выплат стимулирующего характера</w:t>
            </w:r>
          </w:p>
        </w:tc>
      </w:tr>
      <w:tr w:rsidR="00F74A8A" w:rsidRPr="00F74A8A" w:rsidTr="00F74A8A">
        <w:trPr>
          <w:trHeight w:val="270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II. Дошкольное образование</w:t>
            </w:r>
          </w:p>
        </w:tc>
      </w:tr>
      <w:tr w:rsidR="00F74A8A" w:rsidRPr="00F74A8A" w:rsidTr="00F74A8A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В 2015 году показатель увеличился за счет открытия дошкольных групп при МКОУ "Солдатская СОШ", МКОУ «Быковская СОШ», дополнительно увеличилось на 40 дошкольных мест</w:t>
            </w:r>
          </w:p>
        </w:tc>
      </w:tr>
      <w:tr w:rsidR="00F74A8A" w:rsidRPr="00F74A8A" w:rsidTr="00F74A8A">
        <w:trPr>
          <w:trHeight w:val="10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Детей в возрасте 1-6 лет, стоящих на учете для определения в муниципальные дошкольные образовательные учреждения   нет </w:t>
            </w:r>
          </w:p>
        </w:tc>
      </w:tr>
      <w:tr w:rsidR="00F74A8A" w:rsidRPr="00F74A8A" w:rsidTr="00F74A8A">
        <w:trPr>
          <w:trHeight w:val="15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На территории района нет муниципальных дошкольных образовательных учреждений, здания которых находятся в аварийном состоянии или требуют капитального ремонта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III. Общее и дополнительное образование</w:t>
            </w:r>
          </w:p>
        </w:tc>
      </w:tr>
      <w:tr w:rsidR="00F74A8A" w:rsidRPr="00F74A8A" w:rsidTr="00F74A8A">
        <w:trPr>
          <w:trHeight w:val="21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В 2015 году 1 выпускник не сдал экзамен по русскому языку и математике</w:t>
            </w:r>
          </w:p>
        </w:tc>
      </w:tr>
      <w:tr w:rsidR="00F74A8A" w:rsidRPr="00F74A8A" w:rsidTr="00F74A8A">
        <w:trPr>
          <w:trHeight w:val="16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 численности выпускников муниципальных общеобразовательных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В 2015 году 1 выпускник не получил аттестат о среднем (полном) образовании</w:t>
            </w:r>
          </w:p>
        </w:tc>
      </w:tr>
      <w:tr w:rsidR="00F74A8A" w:rsidRPr="00F74A8A" w:rsidTr="00F74A8A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муниципальных общеобразовательных учреждений, соответствующих</w:t>
            </w: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В 2015 году показатель составил 80,0%, что объясняется проведением модернизации школ и приобретения нового, современного оборудования.</w:t>
            </w:r>
          </w:p>
        </w:tc>
      </w:tr>
      <w:tr w:rsidR="00F74A8A" w:rsidRPr="00F74A8A" w:rsidTr="00F74A8A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Показатель уменьшился в связи с проведением в 2015 году текущих ремонтов  в МКОУ «</w:t>
            </w:r>
            <w:proofErr w:type="spell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Мелавская</w:t>
            </w:r>
            <w:proofErr w:type="spell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СОШ», МКОУ «Быковская СОШ»</w:t>
            </w:r>
          </w:p>
        </w:tc>
      </w:tr>
      <w:tr w:rsidR="00F74A8A" w:rsidRPr="00F74A8A" w:rsidTr="00F74A8A">
        <w:trPr>
          <w:trHeight w:val="10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Доля детей первой и второй групп здоровья в общей 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Показатель увеличился за счет улучшения питания и введения дополнительных часов уроков физической культуры в образовательных учреждениях и организации летнего отдыха в загородных летних лагерях</w:t>
            </w:r>
          </w:p>
        </w:tc>
      </w:tr>
      <w:tr w:rsidR="00F74A8A" w:rsidRPr="00F74A8A" w:rsidTr="00F74A8A">
        <w:trPr>
          <w:trHeight w:val="15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обучающихся в муниципальных   общеобразовательных учреждениях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Обучающихся в муниципальных общеобразовательных учреждениях, занимающихся во вторую смену нет.</w:t>
            </w:r>
            <w:proofErr w:type="gramEnd"/>
          </w:p>
        </w:tc>
      </w:tr>
      <w:tr w:rsidR="00F74A8A" w:rsidRPr="00F74A8A" w:rsidTr="00F74A8A">
        <w:trPr>
          <w:trHeight w:val="10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стоимости ТЭР и уменьшение численности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обучающихся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способствует увеличению показателя</w:t>
            </w:r>
          </w:p>
        </w:tc>
      </w:tr>
      <w:tr w:rsidR="00F74A8A" w:rsidRPr="00F74A8A" w:rsidTr="00F74A8A">
        <w:trPr>
          <w:trHeight w:val="15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 в общей численности детей данной возрастной группы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Уменьшение показателя произошло за счет введения ФГОС основного общего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образования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обучающиеся 5 классов заняты внеурочной деятельностью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IV.  Культура</w:t>
            </w:r>
          </w:p>
        </w:tc>
      </w:tr>
      <w:tr w:rsidR="00F74A8A" w:rsidRPr="00F74A8A" w:rsidTr="00F74A8A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</w:tr>
      <w:tr w:rsidR="00F74A8A" w:rsidRPr="00F74A8A" w:rsidTr="00F74A8A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клубами и учреждениями клубного типа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Горшеченский</w:t>
            </w:r>
            <w:proofErr w:type="spell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район на 100% обеспечен клубами и учреждениями клубного типа. На территории района расположено 32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клубных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учреждения с 6367 посадочными местами. </w:t>
            </w:r>
          </w:p>
        </w:tc>
      </w:tr>
      <w:tr w:rsidR="00F74A8A" w:rsidRPr="00F74A8A" w:rsidTr="00F74A8A">
        <w:trPr>
          <w:trHeight w:val="18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библиотеками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Уровень фактической обеспеченности в районе библиотеками в 2015 году равен 100%. На территории района 28 муниципальных библиотек, посещаемость за год составила -171935 посещений. Книжный фонд в целом составляет 294987 экземпляров. 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парками культуры и отдыха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На балансе муниципального образования парков культуры и отдыха нет</w:t>
            </w:r>
          </w:p>
        </w:tc>
      </w:tr>
      <w:tr w:rsidR="00F74A8A" w:rsidRPr="00F74A8A" w:rsidTr="00F74A8A">
        <w:trPr>
          <w:trHeight w:val="10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Показатель уменьшился в  связи с проведением капитальных ремонтов муниципальных учреждениях  культуры</w:t>
            </w:r>
          </w:p>
        </w:tc>
      </w:tr>
      <w:tr w:rsidR="00F74A8A" w:rsidRPr="00F74A8A" w:rsidTr="00F74A8A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 </w:t>
            </w:r>
            <w:proofErr w:type="spellStart"/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обственности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Объекты культурного наследия, находящиеся в муниципальной собственности, требующие консервации или реставрации, на территории района отсутствуют.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V. Физическая культура и спорт</w:t>
            </w:r>
          </w:p>
        </w:tc>
      </w:tr>
      <w:tr w:rsidR="00F74A8A" w:rsidRPr="00F74A8A" w:rsidTr="00F74A8A">
        <w:trPr>
          <w:trHeight w:val="21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Доля населения, систематически занимающегося физической культурой и спортом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37,1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39,7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42,3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Доля населения, систематически занимающихся физической культурой и спортом в 2015 году увеличилось на 20,4% по сравнению с 2014 годом за счет открытия новых секций  для детей и взрослого населения, вовлечения в спортивные мероприятия трудовых коллективов, молодежи, дошкольников.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систематически занимающихся физической культурой и спортом, в общей численности обучающихся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Все обучающиеся занимаются физической культурой и спортом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VI. Жилищное строительство и обеспечение граждан жильем</w:t>
            </w:r>
          </w:p>
        </w:tc>
      </w:tr>
      <w:tr w:rsidR="00F74A8A" w:rsidRPr="00F74A8A" w:rsidTr="00F74A8A">
        <w:trPr>
          <w:trHeight w:val="18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 w:type="page"/>
              <w:t xml:space="preserve">    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показателя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общей площади жилых помещений, приходящейся в среднем на одного жителя обусловлено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 введением дополнительной площади жилых помещений  и демографической обстановкой, складывающейся на территории района.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в том числе 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введенная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в действие за один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Показатель увеличился за счет увеличения вводимых площадей. В 2015 году было введено 7398 кв.м.</w:t>
            </w:r>
          </w:p>
        </w:tc>
      </w:tr>
      <w:tr w:rsidR="00F74A8A" w:rsidRPr="00F74A8A" w:rsidTr="00F74A8A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Площадь земельных участков, предоставленных для строительства в расчете на 10 тыс. человек населения</w:t>
            </w: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 -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гектаров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Показатель увеличился за счет того, что в 2015 году были выделены земельные участки под строительство складских помещений, мастерских, сборочных цехов</w:t>
            </w:r>
          </w:p>
        </w:tc>
      </w:tr>
      <w:tr w:rsidR="00F74A8A" w:rsidRPr="00F74A8A" w:rsidTr="00F74A8A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в том числе земельных участков, </w:t>
            </w: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предоставленных для жилищного </w:t>
            </w: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строительства,  индивидуального </w:t>
            </w: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строительства и комплексного освоения в </w:t>
            </w: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целях жилищного  строительства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гектаров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Увеличению показателя способствовало то, что в 2015 году были выделены земельные участки для   ИЖС многодетным семьям</w:t>
            </w:r>
          </w:p>
        </w:tc>
      </w:tr>
      <w:tr w:rsidR="00F74A8A" w:rsidRPr="00F74A8A" w:rsidTr="00F74A8A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 даты принятия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 ввод в эксплуатацию: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</w:tr>
      <w:tr w:rsidR="00F74A8A" w:rsidRPr="00F74A8A" w:rsidTr="00F74A8A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объектов жилищного строительства -</w:t>
            </w: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 w:type="page"/>
              <w:t xml:space="preserve">     в течение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На территории района земельных участков, предоставленных для объектов жилищного строительства в отношении которых в течени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и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3 лет не было получено разрешения на ввод нет.</w:t>
            </w:r>
          </w:p>
        </w:tc>
      </w:tr>
      <w:tr w:rsidR="00F74A8A" w:rsidRPr="00F74A8A" w:rsidTr="00F74A8A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иных объектов капитального строительства - </w:t>
            </w: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  <w:t xml:space="preserve">     в течение 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На территории района земельных участков, предоставленных для объектов капитального строительства в отношении которых в течени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и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5 лет не было получено разрешения на ввод нет.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VII. Жилищно-коммунальное хозяйство</w:t>
            </w:r>
          </w:p>
        </w:tc>
      </w:tr>
      <w:tr w:rsidR="00F74A8A" w:rsidRPr="00F74A8A" w:rsidTr="00F74A8A">
        <w:trPr>
          <w:trHeight w:val="18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 многоквартирных домов, в которых собственники   помещений должны выбрать способ управления данными домами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На территории района данный показатель составляет 100 %, т. е. во всех многоквартирных домах собственники выбрали и реализуют один из способов управления многоквартирными домами в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общем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их числе.</w:t>
            </w:r>
          </w:p>
        </w:tc>
      </w:tr>
      <w:tr w:rsidR="00F74A8A" w:rsidRPr="00F74A8A" w:rsidTr="00F74A8A">
        <w:trPr>
          <w:trHeight w:val="42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водо</w:t>
            </w:r>
            <w:proofErr w:type="spell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-, тепл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о-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газо</w:t>
            </w:r>
            <w:proofErr w:type="spell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В настоящее время на территории района функционирует 6 организаций, осуществляющих оказание услуг по </w:t>
            </w:r>
            <w:proofErr w:type="spell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вод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о-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,тепло</w:t>
            </w:r>
            <w:proofErr w:type="spell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-, </w:t>
            </w:r>
            <w:proofErr w:type="spell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газо-,электроснабжению</w:t>
            </w:r>
            <w:proofErr w:type="spell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, вывозу мусора, из них 1 организация  ОГУП "</w:t>
            </w:r>
            <w:proofErr w:type="spell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Курскоблжилкомхоз</w:t>
            </w:r>
            <w:proofErr w:type="spell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</w:tr>
      <w:tr w:rsidR="00F74A8A" w:rsidRPr="00F74A8A" w:rsidTr="00F74A8A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показателя обусловлено проведением мероприятий Администрацией района по оформлению земельных участков под  многоквартирными жилыми домами </w:t>
            </w:r>
          </w:p>
        </w:tc>
      </w:tr>
      <w:tr w:rsidR="00F74A8A" w:rsidRPr="00F74A8A" w:rsidTr="00F74A8A">
        <w:trPr>
          <w:trHeight w:val="13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Увеличение показателя обусловлено улучшением жилищных условий участников ВОВ, а так же  молодых семей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VIII.  Организация муниципального управления</w:t>
            </w:r>
          </w:p>
        </w:tc>
      </w:tr>
      <w:tr w:rsidR="00F74A8A" w:rsidRPr="00F74A8A" w:rsidTr="00F74A8A">
        <w:trPr>
          <w:trHeight w:val="18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Показатель уменьшился  в связи с сокращением дополнительного норматива отчислений в бюджет муниципального района НДФЛ с 69,8 % до 40,3 %                   </w:t>
            </w:r>
          </w:p>
        </w:tc>
      </w:tr>
      <w:tr w:rsidR="00F74A8A" w:rsidRPr="00F74A8A" w:rsidTr="00F74A8A">
        <w:trPr>
          <w:trHeight w:val="15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Организаций в стадии банкротства нет</w:t>
            </w:r>
          </w:p>
        </w:tc>
      </w:tr>
      <w:tr w:rsidR="00F74A8A" w:rsidRPr="00F74A8A" w:rsidTr="00F74A8A">
        <w:trPr>
          <w:trHeight w:val="10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 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На территории района не ведется строительство за счет средств бюджета района</w:t>
            </w:r>
          </w:p>
        </w:tc>
      </w:tr>
      <w:tr w:rsidR="00F74A8A" w:rsidRPr="00F74A8A" w:rsidTr="00F74A8A">
        <w:trPr>
          <w:trHeight w:val="15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Просроченной задолженности по оплате труда по организациям и предприятиям района нет</w:t>
            </w:r>
          </w:p>
        </w:tc>
      </w:tr>
      <w:tr w:rsidR="00F74A8A" w:rsidRPr="00F74A8A" w:rsidTr="00F74A8A">
        <w:trPr>
          <w:trHeight w:val="10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показателя произошло  за счет   увеличения заработной платы и снижения  численности населения района. </w:t>
            </w:r>
          </w:p>
        </w:tc>
      </w:tr>
      <w:tr w:rsidR="00F74A8A" w:rsidRPr="00F74A8A" w:rsidTr="00F74A8A">
        <w:trPr>
          <w:trHeight w:val="10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В 2010 году утверждена схема территориального планирования района.</w:t>
            </w:r>
          </w:p>
        </w:tc>
      </w:tr>
      <w:tr w:rsidR="00F74A8A" w:rsidRPr="00F74A8A" w:rsidTr="00F74A8A">
        <w:trPr>
          <w:trHeight w:val="15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Увеличение показателя   связано с обеспечением доступа к информации о деятельности органов местного самоуправления посредством выхода на сайт администрации района, а также публикаций в местных СМИ. 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Уменьшение показателя обусловлено  естественной и миграционной убылью численности населения</w:t>
            </w:r>
          </w:p>
        </w:tc>
      </w:tr>
      <w:tr w:rsidR="00F74A8A" w:rsidRPr="00F74A8A" w:rsidTr="00F74A8A">
        <w:trPr>
          <w:trHeight w:val="276"/>
        </w:trPr>
        <w:tc>
          <w:tcPr>
            <w:tcW w:w="1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IX.  Энергосбережение и повышение энергетической эффективности</w:t>
            </w:r>
          </w:p>
        </w:tc>
      </w:tr>
      <w:tr w:rsidR="00F74A8A" w:rsidRPr="00F74A8A" w:rsidTr="00F74A8A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39.1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электрическая энергия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кВт/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ч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на 1 проживающего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Замена ламп накаливания большей мощности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на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энергосберегающие способствует снижению показателя</w:t>
            </w:r>
          </w:p>
        </w:tc>
      </w:tr>
      <w:tr w:rsidR="00F74A8A" w:rsidRPr="00F74A8A" w:rsidTr="00F74A8A">
        <w:trPr>
          <w:trHeight w:val="10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тепловая энергия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Гкал на 1 кв. метр  общей площади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В связи с переводом  котельных и индивидуальных квартир с твёрдого топлива на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газовое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показатель уменьшается</w:t>
            </w:r>
          </w:p>
        </w:tc>
      </w:tr>
      <w:tr w:rsidR="00F74A8A" w:rsidRPr="00F74A8A" w:rsidTr="00F74A8A">
        <w:trPr>
          <w:trHeight w:val="52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39.3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горячая 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куб. метров на 1 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проживающего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Услуга не предоставляется</w:t>
            </w:r>
          </w:p>
        </w:tc>
      </w:tr>
      <w:tr w:rsidR="00F74A8A" w:rsidRPr="00F74A8A" w:rsidTr="00F74A8A">
        <w:trPr>
          <w:trHeight w:val="10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39.4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холодная 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куб. метров на 1 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проживающего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Показатель уменьшается в связи с проведением мероприятий  по установке  индивидуальных приборов учёта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природный газ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куб. метров на 1 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проживающего</w:t>
            </w:r>
            <w:proofErr w:type="gram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Показатель уменьшается в связи с установкой нового более эффективного оборудования</w:t>
            </w:r>
          </w:p>
        </w:tc>
      </w:tr>
      <w:tr w:rsidR="00F74A8A" w:rsidRPr="00F74A8A" w:rsidTr="00F74A8A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40.1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электрическая энергия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кВт/</w:t>
            </w:r>
            <w:proofErr w:type="gramStart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ч</w:t>
            </w:r>
            <w:proofErr w:type="gramEnd"/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на 1 человека населения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Уменьшение показателя за счет замены ламп накаливания большей мощности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на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энергосберегающие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40.2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тепловая энергия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Гкал на 1 кв. метр  общей площади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В связи с  переводом бюджетных учреждений  с твёрдого топлива на </w:t>
            </w:r>
            <w:proofErr w:type="gramStart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газовое</w:t>
            </w:r>
            <w:proofErr w:type="gramEnd"/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 показатель уменьшается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40.3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горячая 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куб. метров на 1 человека населения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Услуга не предоставляется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40.4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холодная 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куб. метров на 1 человека населения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>Уменьшение показателя за счет установки  приборов учёта.</w:t>
            </w:r>
          </w:p>
        </w:tc>
      </w:tr>
      <w:tr w:rsidR="00F74A8A" w:rsidRPr="00F74A8A" w:rsidTr="00F74A8A">
        <w:trPr>
          <w:trHeight w:val="7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природный газ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куб. метров на 1 человека населения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A8A" w:rsidRPr="00F74A8A" w:rsidRDefault="00F74A8A" w:rsidP="00F74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74A8A">
              <w:rPr>
                <w:rFonts w:ascii="Tahoma" w:eastAsia="Times New Roman" w:hAnsi="Tahoma" w:cs="Tahoma"/>
                <w:sz w:val="20"/>
                <w:szCs w:val="20"/>
              </w:rPr>
              <w:t xml:space="preserve">Уменьшение показателя  за счет   установки нового энергосберегающего и замены старого газового оборудования </w:t>
            </w:r>
          </w:p>
        </w:tc>
      </w:tr>
    </w:tbl>
    <w:p w:rsidR="00C155E4" w:rsidRPr="00F74A8A" w:rsidRDefault="00C155E4" w:rsidP="00F74A8A"/>
    <w:sectPr w:rsidR="00C155E4" w:rsidRPr="00F74A8A" w:rsidSect="00BB0E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EEC"/>
    <w:rsid w:val="00011E4B"/>
    <w:rsid w:val="000633C0"/>
    <w:rsid w:val="00073FBE"/>
    <w:rsid w:val="000825D0"/>
    <w:rsid w:val="000945F8"/>
    <w:rsid w:val="00097F73"/>
    <w:rsid w:val="000A4C55"/>
    <w:rsid w:val="000E1E1E"/>
    <w:rsid w:val="00117CEF"/>
    <w:rsid w:val="00153121"/>
    <w:rsid w:val="00157CF2"/>
    <w:rsid w:val="0016288D"/>
    <w:rsid w:val="00170764"/>
    <w:rsid w:val="001B07D7"/>
    <w:rsid w:val="001F08BB"/>
    <w:rsid w:val="002845EE"/>
    <w:rsid w:val="002B2AA4"/>
    <w:rsid w:val="002F0047"/>
    <w:rsid w:val="00301A8D"/>
    <w:rsid w:val="00323334"/>
    <w:rsid w:val="00325DAF"/>
    <w:rsid w:val="00367BBA"/>
    <w:rsid w:val="00380893"/>
    <w:rsid w:val="003965A3"/>
    <w:rsid w:val="003C5AB9"/>
    <w:rsid w:val="003D1594"/>
    <w:rsid w:val="003D500B"/>
    <w:rsid w:val="0040128B"/>
    <w:rsid w:val="004315BB"/>
    <w:rsid w:val="004609D0"/>
    <w:rsid w:val="00481EDC"/>
    <w:rsid w:val="004A27B9"/>
    <w:rsid w:val="004B2137"/>
    <w:rsid w:val="004C22B9"/>
    <w:rsid w:val="004D3555"/>
    <w:rsid w:val="00513A85"/>
    <w:rsid w:val="0052196E"/>
    <w:rsid w:val="0054340A"/>
    <w:rsid w:val="005449E2"/>
    <w:rsid w:val="0059061A"/>
    <w:rsid w:val="005F7E93"/>
    <w:rsid w:val="00673F84"/>
    <w:rsid w:val="006B0042"/>
    <w:rsid w:val="006D3071"/>
    <w:rsid w:val="006D36F5"/>
    <w:rsid w:val="00701DFB"/>
    <w:rsid w:val="00704EE5"/>
    <w:rsid w:val="00730FE3"/>
    <w:rsid w:val="00780E84"/>
    <w:rsid w:val="00785805"/>
    <w:rsid w:val="007E4A2A"/>
    <w:rsid w:val="00812A64"/>
    <w:rsid w:val="00825786"/>
    <w:rsid w:val="0083639F"/>
    <w:rsid w:val="00852780"/>
    <w:rsid w:val="00866E9B"/>
    <w:rsid w:val="008824A2"/>
    <w:rsid w:val="008963A5"/>
    <w:rsid w:val="008A1E57"/>
    <w:rsid w:val="008B1E7E"/>
    <w:rsid w:val="008C694F"/>
    <w:rsid w:val="00903F40"/>
    <w:rsid w:val="00915401"/>
    <w:rsid w:val="0092545B"/>
    <w:rsid w:val="009C6083"/>
    <w:rsid w:val="009D58FC"/>
    <w:rsid w:val="009F2703"/>
    <w:rsid w:val="00A23E11"/>
    <w:rsid w:val="00A31691"/>
    <w:rsid w:val="00A32278"/>
    <w:rsid w:val="00A65B69"/>
    <w:rsid w:val="00AC6D5A"/>
    <w:rsid w:val="00B20A38"/>
    <w:rsid w:val="00BA620F"/>
    <w:rsid w:val="00BB0EEC"/>
    <w:rsid w:val="00C155E4"/>
    <w:rsid w:val="00C17455"/>
    <w:rsid w:val="00C37470"/>
    <w:rsid w:val="00C420A2"/>
    <w:rsid w:val="00C42AA1"/>
    <w:rsid w:val="00C61142"/>
    <w:rsid w:val="00C7245A"/>
    <w:rsid w:val="00C93E02"/>
    <w:rsid w:val="00CA4318"/>
    <w:rsid w:val="00CB6A25"/>
    <w:rsid w:val="00CF2D38"/>
    <w:rsid w:val="00D2781C"/>
    <w:rsid w:val="00D527E8"/>
    <w:rsid w:val="00DA00D3"/>
    <w:rsid w:val="00DD0A19"/>
    <w:rsid w:val="00DD2D78"/>
    <w:rsid w:val="00DD4E14"/>
    <w:rsid w:val="00DE1DB3"/>
    <w:rsid w:val="00E071FA"/>
    <w:rsid w:val="00E1111D"/>
    <w:rsid w:val="00E57380"/>
    <w:rsid w:val="00E72EB6"/>
    <w:rsid w:val="00EA04E4"/>
    <w:rsid w:val="00F0632B"/>
    <w:rsid w:val="00F541F8"/>
    <w:rsid w:val="00F74190"/>
    <w:rsid w:val="00F74A8A"/>
    <w:rsid w:val="00F864D1"/>
    <w:rsid w:val="00FA0D47"/>
    <w:rsid w:val="00FA136B"/>
    <w:rsid w:val="00FB265F"/>
    <w:rsid w:val="00FB5A6C"/>
    <w:rsid w:val="00FE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E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0EEC"/>
    <w:rPr>
      <w:color w:val="800080"/>
      <w:u w:val="single"/>
    </w:rPr>
  </w:style>
  <w:style w:type="paragraph" w:customStyle="1" w:styleId="xl3824">
    <w:name w:val="xl3824"/>
    <w:basedOn w:val="a"/>
    <w:rsid w:val="00BB0EE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3825">
    <w:name w:val="xl3825"/>
    <w:basedOn w:val="a"/>
    <w:rsid w:val="00BB0E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26">
    <w:name w:val="xl3826"/>
    <w:basedOn w:val="a"/>
    <w:rsid w:val="00BB0EE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3827">
    <w:name w:val="xl3827"/>
    <w:basedOn w:val="a"/>
    <w:rsid w:val="00BB0EEC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3828">
    <w:name w:val="xl3828"/>
    <w:basedOn w:val="a"/>
    <w:rsid w:val="00BB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9">
    <w:name w:val="xl3829"/>
    <w:basedOn w:val="a"/>
    <w:rsid w:val="00BB0EE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0">
    <w:name w:val="xl3830"/>
    <w:basedOn w:val="a"/>
    <w:rsid w:val="00BB0E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1">
    <w:name w:val="xl3831"/>
    <w:basedOn w:val="a"/>
    <w:rsid w:val="00BB0E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2">
    <w:name w:val="xl3832"/>
    <w:basedOn w:val="a"/>
    <w:rsid w:val="00BB0E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33">
    <w:name w:val="xl3833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34">
    <w:name w:val="xl3834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35">
    <w:name w:val="xl3835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3836">
    <w:name w:val="xl3836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37">
    <w:name w:val="xl3837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38">
    <w:name w:val="xl3838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39">
    <w:name w:val="xl3839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0">
    <w:name w:val="xl3840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1">
    <w:name w:val="xl3841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2">
    <w:name w:val="xl3842"/>
    <w:basedOn w:val="a"/>
    <w:rsid w:val="00BB0EE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43">
    <w:name w:val="xl3843"/>
    <w:basedOn w:val="a"/>
    <w:rsid w:val="00BB0EE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44">
    <w:name w:val="xl3844"/>
    <w:basedOn w:val="a"/>
    <w:rsid w:val="00BB0EE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45">
    <w:name w:val="xl3845"/>
    <w:basedOn w:val="a"/>
    <w:rsid w:val="00BB0E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46">
    <w:name w:val="xl3846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7">
    <w:name w:val="xl3847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8">
    <w:name w:val="xl3848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49">
    <w:name w:val="xl3849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0">
    <w:name w:val="xl3850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1">
    <w:name w:val="xl3851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2">
    <w:name w:val="xl3852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3">
    <w:name w:val="xl3853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4">
    <w:name w:val="xl3854"/>
    <w:basedOn w:val="a"/>
    <w:rsid w:val="00BB0E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5">
    <w:name w:val="xl3855"/>
    <w:basedOn w:val="a"/>
    <w:rsid w:val="00BB0E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6">
    <w:name w:val="xl3856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7">
    <w:name w:val="xl3857"/>
    <w:basedOn w:val="a"/>
    <w:rsid w:val="00BB0E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8">
    <w:name w:val="xl3858"/>
    <w:basedOn w:val="a"/>
    <w:rsid w:val="00BB0E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59">
    <w:name w:val="xl3859"/>
    <w:basedOn w:val="a"/>
    <w:rsid w:val="00BB0E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0">
    <w:name w:val="xl3860"/>
    <w:basedOn w:val="a"/>
    <w:rsid w:val="00BB0EEC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3861">
    <w:name w:val="xl3861"/>
    <w:basedOn w:val="a"/>
    <w:rsid w:val="00BB0EE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2">
    <w:name w:val="xl3862"/>
    <w:basedOn w:val="a"/>
    <w:rsid w:val="00BB0EE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3">
    <w:name w:val="xl3863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4">
    <w:name w:val="xl3864"/>
    <w:basedOn w:val="a"/>
    <w:rsid w:val="00BB0E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5">
    <w:name w:val="xl3865"/>
    <w:basedOn w:val="a"/>
    <w:rsid w:val="00BB0E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6">
    <w:name w:val="xl3866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7">
    <w:name w:val="xl3867"/>
    <w:basedOn w:val="a"/>
    <w:rsid w:val="00BB0E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8">
    <w:name w:val="xl3868"/>
    <w:basedOn w:val="a"/>
    <w:rsid w:val="00BB0EE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69">
    <w:name w:val="xl3869"/>
    <w:basedOn w:val="a"/>
    <w:rsid w:val="00BB0EEC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70">
    <w:name w:val="xl3870"/>
    <w:basedOn w:val="a"/>
    <w:rsid w:val="00BB0E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71">
    <w:name w:val="xl3871"/>
    <w:basedOn w:val="a"/>
    <w:rsid w:val="00BB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72">
    <w:name w:val="xl3872"/>
    <w:basedOn w:val="a"/>
    <w:rsid w:val="00BB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D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594"/>
    <w:rPr>
      <w:rFonts w:ascii="Tahoma" w:hAnsi="Tahoma" w:cs="Tahoma"/>
      <w:sz w:val="16"/>
      <w:szCs w:val="16"/>
    </w:rPr>
  </w:style>
  <w:style w:type="paragraph" w:customStyle="1" w:styleId="xl3808">
    <w:name w:val="xl3808"/>
    <w:basedOn w:val="a"/>
    <w:rsid w:val="00F74A8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3809">
    <w:name w:val="xl3809"/>
    <w:basedOn w:val="a"/>
    <w:rsid w:val="00F74A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10">
    <w:name w:val="xl3810"/>
    <w:basedOn w:val="a"/>
    <w:rsid w:val="00F74A8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paragraph" w:customStyle="1" w:styleId="xl3811">
    <w:name w:val="xl3811"/>
    <w:basedOn w:val="a"/>
    <w:rsid w:val="00F74A8A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20"/>
      <w:szCs w:val="20"/>
    </w:rPr>
  </w:style>
  <w:style w:type="paragraph" w:customStyle="1" w:styleId="xl3812">
    <w:name w:val="xl3812"/>
    <w:basedOn w:val="a"/>
    <w:rsid w:val="00F7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13">
    <w:name w:val="xl3813"/>
    <w:basedOn w:val="a"/>
    <w:rsid w:val="00F74A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14">
    <w:name w:val="xl3814"/>
    <w:basedOn w:val="a"/>
    <w:rsid w:val="00F74A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15">
    <w:name w:val="xl3815"/>
    <w:basedOn w:val="a"/>
    <w:rsid w:val="00F74A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16">
    <w:name w:val="xl3816"/>
    <w:basedOn w:val="a"/>
    <w:rsid w:val="00F74A8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3817">
    <w:name w:val="xl3817"/>
    <w:basedOn w:val="a"/>
    <w:rsid w:val="00F74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18">
    <w:name w:val="xl3818"/>
    <w:basedOn w:val="a"/>
    <w:rsid w:val="00F74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19">
    <w:name w:val="xl3819"/>
    <w:basedOn w:val="a"/>
    <w:rsid w:val="00F74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3820">
    <w:name w:val="xl3820"/>
    <w:basedOn w:val="a"/>
    <w:rsid w:val="00F74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21">
    <w:name w:val="xl3821"/>
    <w:basedOn w:val="a"/>
    <w:rsid w:val="00F74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22">
    <w:name w:val="xl3822"/>
    <w:basedOn w:val="a"/>
    <w:rsid w:val="00F74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823">
    <w:name w:val="xl3823"/>
    <w:basedOn w:val="a"/>
    <w:rsid w:val="00F74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63AC-6675-4C90-9953-ABA7C3A9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13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91</cp:revision>
  <cp:lastPrinted>2016-04-18T11:49:00Z</cp:lastPrinted>
  <dcterms:created xsi:type="dcterms:W3CDTF">2016-03-23T12:53:00Z</dcterms:created>
  <dcterms:modified xsi:type="dcterms:W3CDTF">2016-04-28T05:26:00Z</dcterms:modified>
</cp:coreProperties>
</file>